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312" w:type="dxa"/>
        <w:tblLook w:val="04A0"/>
      </w:tblPr>
      <w:tblGrid>
        <w:gridCol w:w="440"/>
        <w:gridCol w:w="2565"/>
        <w:gridCol w:w="997"/>
        <w:gridCol w:w="1456"/>
        <w:gridCol w:w="874"/>
        <w:gridCol w:w="5980"/>
      </w:tblGrid>
      <w:tr w:rsidR="00C40875" w:rsidRPr="00FA2DA5" w:rsidTr="00A42C5E">
        <w:tc>
          <w:tcPr>
            <w:tcW w:w="440" w:type="dxa"/>
          </w:tcPr>
          <w:p w:rsidR="00FD5B5B" w:rsidRPr="00FA2DA5" w:rsidRDefault="00FD5B5B"/>
        </w:tc>
        <w:tc>
          <w:tcPr>
            <w:tcW w:w="2565" w:type="dxa"/>
          </w:tcPr>
          <w:p w:rsidR="00FD5B5B" w:rsidRPr="00FA2DA5" w:rsidRDefault="00FD5B5B">
            <w:r w:rsidRPr="00FA2DA5">
              <w:t>Action</w:t>
            </w:r>
          </w:p>
        </w:tc>
        <w:tc>
          <w:tcPr>
            <w:tcW w:w="997" w:type="dxa"/>
          </w:tcPr>
          <w:p w:rsidR="00FD5B5B" w:rsidRPr="00FA2DA5" w:rsidRDefault="00FD5B5B">
            <w:r w:rsidRPr="00FA2DA5">
              <w:t>Target Date</w:t>
            </w:r>
          </w:p>
        </w:tc>
        <w:tc>
          <w:tcPr>
            <w:tcW w:w="1456" w:type="dxa"/>
          </w:tcPr>
          <w:p w:rsidR="00FD5B5B" w:rsidRPr="00FA2DA5" w:rsidRDefault="00FD5B5B">
            <w:r w:rsidRPr="00FA2DA5">
              <w:t>Responsibility</w:t>
            </w:r>
          </w:p>
        </w:tc>
        <w:tc>
          <w:tcPr>
            <w:tcW w:w="874" w:type="dxa"/>
          </w:tcPr>
          <w:p w:rsidR="00FD5B5B" w:rsidRPr="00FA2DA5" w:rsidRDefault="00FD5B5B">
            <w:r w:rsidRPr="00FA2DA5">
              <w:t>Priority</w:t>
            </w:r>
          </w:p>
        </w:tc>
        <w:tc>
          <w:tcPr>
            <w:tcW w:w="5980" w:type="dxa"/>
          </w:tcPr>
          <w:p w:rsidR="00FD5B5B" w:rsidRPr="00FA2DA5" w:rsidRDefault="00FD5B5B">
            <w:r w:rsidRPr="00FA2DA5">
              <w:t>Status</w:t>
            </w:r>
          </w:p>
        </w:tc>
      </w:tr>
      <w:tr w:rsidR="00C40875" w:rsidRPr="00FA2DA5" w:rsidTr="00A42C5E">
        <w:tc>
          <w:tcPr>
            <w:tcW w:w="440" w:type="dxa"/>
          </w:tcPr>
          <w:p w:rsidR="00FD5B5B" w:rsidRPr="00FA2DA5" w:rsidRDefault="00FD5B5B">
            <w:r w:rsidRPr="00FA2DA5">
              <w:t>1</w:t>
            </w:r>
          </w:p>
        </w:tc>
        <w:tc>
          <w:tcPr>
            <w:tcW w:w="2565" w:type="dxa"/>
          </w:tcPr>
          <w:p w:rsidR="00FD5B5B" w:rsidRPr="00FA2DA5" w:rsidRDefault="00FD5B5B" w:rsidP="00FD5B5B">
            <w:r w:rsidRPr="00FA2DA5">
              <w:t xml:space="preserve">People who want to contribute to the Best Practice Data Paper to contact ADMT co-chairs.  </w:t>
            </w:r>
            <w:proofErr w:type="spellStart"/>
            <w:r w:rsidRPr="00FA2DA5">
              <w:t>Esmee</w:t>
            </w:r>
            <w:proofErr w:type="spellEnd"/>
            <w:r w:rsidRPr="00FA2DA5">
              <w:t xml:space="preserve"> van </w:t>
            </w:r>
            <w:proofErr w:type="spellStart"/>
            <w:r w:rsidRPr="00FA2DA5">
              <w:t>Wijk</w:t>
            </w:r>
            <w:proofErr w:type="spellEnd"/>
            <w:r w:rsidRPr="00FA2DA5">
              <w:t xml:space="preserve"> and Annie Wong want to help with the DMODE section.  S. </w:t>
            </w:r>
            <w:proofErr w:type="spellStart"/>
            <w:r w:rsidRPr="00FA2DA5">
              <w:t>Pouliquen</w:t>
            </w:r>
            <w:proofErr w:type="spellEnd"/>
            <w:r w:rsidRPr="00FA2DA5">
              <w:t xml:space="preserve"> with the data system as a whole.  M. </w:t>
            </w:r>
            <w:proofErr w:type="spellStart"/>
            <w:r w:rsidR="00F5506B">
              <w:t>Belbéoch</w:t>
            </w:r>
            <w:proofErr w:type="spellEnd"/>
            <w:r w:rsidRPr="00FA2DA5">
              <w:t xml:space="preserve"> for Monitoring, T. </w:t>
            </w:r>
            <w:proofErr w:type="spellStart"/>
            <w:r w:rsidRPr="00FA2DA5">
              <w:t>Carval</w:t>
            </w:r>
            <w:proofErr w:type="spellEnd"/>
            <w:r w:rsidRPr="00FA2DA5">
              <w:t xml:space="preserve"> for Real time GDAC operations, A. Tran for GTS,  U. </w:t>
            </w:r>
            <w:proofErr w:type="spellStart"/>
            <w:r w:rsidRPr="00FA2DA5">
              <w:t>Bhaskar</w:t>
            </w:r>
            <w:proofErr w:type="spellEnd"/>
            <w:r w:rsidRPr="00FA2DA5">
              <w:t>, R. Cowley, M. Scanderbeg</w:t>
            </w:r>
          </w:p>
          <w:p w:rsidR="00FD5B5B" w:rsidRPr="00FA2DA5" w:rsidRDefault="00FD5B5B"/>
        </w:tc>
        <w:tc>
          <w:tcPr>
            <w:tcW w:w="997" w:type="dxa"/>
          </w:tcPr>
          <w:p w:rsidR="00FD5B5B" w:rsidRPr="00FA2DA5" w:rsidRDefault="00FD5B5B">
            <w:r w:rsidRPr="00FA2DA5">
              <w:t>ADMT 19</w:t>
            </w:r>
          </w:p>
        </w:tc>
        <w:tc>
          <w:tcPr>
            <w:tcW w:w="1456" w:type="dxa"/>
          </w:tcPr>
          <w:p w:rsidR="00FD5B5B" w:rsidRPr="00FA2DA5" w:rsidRDefault="00FD5B5B">
            <w:r w:rsidRPr="00FA2DA5">
              <w:t xml:space="preserve">E. van </w:t>
            </w:r>
            <w:proofErr w:type="spellStart"/>
            <w:r w:rsidRPr="00FA2DA5">
              <w:t>Wijk</w:t>
            </w:r>
            <w:proofErr w:type="spellEnd"/>
          </w:p>
          <w:p w:rsidR="00FD5B5B" w:rsidRPr="00FA2DA5" w:rsidRDefault="00FD5B5B">
            <w:r w:rsidRPr="00FA2DA5">
              <w:t>A. Wong</w:t>
            </w:r>
          </w:p>
          <w:p w:rsidR="00FD5B5B" w:rsidRPr="00FA2DA5" w:rsidRDefault="00FD5B5B">
            <w:r w:rsidRPr="00FA2DA5">
              <w:t xml:space="preserve">S. </w:t>
            </w:r>
            <w:proofErr w:type="spellStart"/>
            <w:r w:rsidRPr="00FA2DA5">
              <w:t>Pouliquen</w:t>
            </w:r>
            <w:proofErr w:type="spellEnd"/>
          </w:p>
          <w:p w:rsidR="00FD5B5B" w:rsidRPr="00FA2DA5" w:rsidRDefault="00FD5B5B">
            <w:r w:rsidRPr="00FA2DA5">
              <w:t xml:space="preserve">M. </w:t>
            </w:r>
            <w:proofErr w:type="spellStart"/>
            <w:r w:rsidR="00F5506B">
              <w:t>Belbéoch</w:t>
            </w:r>
            <w:proofErr w:type="spellEnd"/>
          </w:p>
          <w:p w:rsidR="00FD5B5B" w:rsidRPr="00FA2DA5" w:rsidRDefault="00FD5B5B">
            <w:r w:rsidRPr="00FA2DA5">
              <w:t>A. Tran</w:t>
            </w:r>
          </w:p>
          <w:p w:rsidR="00FD5B5B" w:rsidRPr="00FA2DA5" w:rsidRDefault="00FD5B5B">
            <w:r w:rsidRPr="00FA2DA5">
              <w:t xml:space="preserve">U. </w:t>
            </w:r>
            <w:proofErr w:type="spellStart"/>
            <w:r w:rsidRPr="00FA2DA5">
              <w:t>Bhaskar</w:t>
            </w:r>
            <w:proofErr w:type="spellEnd"/>
          </w:p>
          <w:p w:rsidR="00FD5B5B" w:rsidRPr="00FA2DA5" w:rsidRDefault="00FD5B5B">
            <w:r w:rsidRPr="00FA2DA5">
              <w:t>R. Cowley</w:t>
            </w:r>
          </w:p>
          <w:p w:rsidR="00FD5B5B" w:rsidRDefault="00FD5B5B">
            <w:r w:rsidRPr="00FA2DA5">
              <w:t>M. Scanderbeg</w:t>
            </w:r>
          </w:p>
          <w:p w:rsidR="00B428B2" w:rsidRPr="00FA2DA5" w:rsidRDefault="00B428B2">
            <w:r>
              <w:t>P. Velez-</w:t>
            </w:r>
            <w:proofErr w:type="spellStart"/>
            <w:r>
              <w:t>Belchi</w:t>
            </w:r>
            <w:proofErr w:type="spellEnd"/>
          </w:p>
        </w:tc>
        <w:tc>
          <w:tcPr>
            <w:tcW w:w="874" w:type="dxa"/>
          </w:tcPr>
          <w:p w:rsidR="00FD5B5B" w:rsidRPr="00FA2DA5" w:rsidRDefault="00FD5B5B">
            <w:r w:rsidRPr="00FA2DA5">
              <w:t>R</w:t>
            </w:r>
          </w:p>
        </w:tc>
        <w:tc>
          <w:tcPr>
            <w:tcW w:w="5980" w:type="dxa"/>
          </w:tcPr>
          <w:p w:rsidR="00FD5B5B" w:rsidRPr="00FA2DA5" w:rsidRDefault="00FD5B5B"/>
        </w:tc>
      </w:tr>
      <w:tr w:rsidR="00C40875" w:rsidRPr="00FA2DA5" w:rsidTr="00A42C5E">
        <w:tc>
          <w:tcPr>
            <w:tcW w:w="440" w:type="dxa"/>
          </w:tcPr>
          <w:p w:rsidR="00FD5B5B" w:rsidRPr="00FA2DA5" w:rsidRDefault="00FD5B5B">
            <w:r w:rsidRPr="00FA2DA5">
              <w:t>2</w:t>
            </w:r>
          </w:p>
        </w:tc>
        <w:tc>
          <w:tcPr>
            <w:tcW w:w="2565" w:type="dxa"/>
          </w:tcPr>
          <w:p w:rsidR="00FD5B5B" w:rsidRPr="00FA2DA5" w:rsidRDefault="00FD5B5B" w:rsidP="00FD5B5B">
            <w:r w:rsidRPr="00FA2DA5">
              <w:t>Thierry to move ahead with adding list of co-authors to DOI.  Ask National Programs to provide Thierry, ADMT co-chairs, AST co-chairs a list of people who have contributed to Argo, along with possible ORCID to begin the list of authors.</w:t>
            </w:r>
          </w:p>
          <w:p w:rsidR="00FD5B5B" w:rsidRPr="00FA2DA5" w:rsidRDefault="00FD5B5B"/>
        </w:tc>
        <w:tc>
          <w:tcPr>
            <w:tcW w:w="997" w:type="dxa"/>
          </w:tcPr>
          <w:p w:rsidR="00FD5B5B" w:rsidRPr="00FA2DA5" w:rsidRDefault="00FD5B5B">
            <w:r w:rsidRPr="00FA2DA5">
              <w:t>ADMT 19</w:t>
            </w:r>
          </w:p>
        </w:tc>
        <w:tc>
          <w:tcPr>
            <w:tcW w:w="1456" w:type="dxa"/>
          </w:tcPr>
          <w:p w:rsidR="00FD5B5B" w:rsidRPr="00FA2DA5" w:rsidRDefault="00FD5B5B">
            <w:r w:rsidRPr="00FA2DA5">
              <w:t>Thierry, National Programs</w:t>
            </w:r>
          </w:p>
        </w:tc>
        <w:tc>
          <w:tcPr>
            <w:tcW w:w="874" w:type="dxa"/>
          </w:tcPr>
          <w:p w:rsidR="00FD5B5B" w:rsidRPr="00FA2DA5" w:rsidRDefault="00FD5B5B">
            <w:r w:rsidRPr="00FA2DA5">
              <w:t>R</w:t>
            </w:r>
          </w:p>
        </w:tc>
        <w:tc>
          <w:tcPr>
            <w:tcW w:w="5980" w:type="dxa"/>
          </w:tcPr>
          <w:p w:rsidR="00FD5B5B" w:rsidRPr="00FA2DA5" w:rsidRDefault="00FA0874">
            <w:r>
              <w:t>Start with list from meta files and list from AIC</w:t>
            </w:r>
            <w:r w:rsidR="00CD7DD1">
              <w:t>.  Ask AST, ADMT, DMQC group for a list of names and emails.  Start with a Google Doc with names listed by country</w:t>
            </w:r>
            <w:r w:rsidR="00EF26FB">
              <w:t xml:space="preserve">, </w:t>
            </w:r>
            <w:proofErr w:type="spellStart"/>
            <w:r w:rsidR="00EF26FB">
              <w:t>orcid</w:t>
            </w:r>
            <w:proofErr w:type="spellEnd"/>
          </w:p>
        </w:tc>
      </w:tr>
      <w:tr w:rsidR="00C40875" w:rsidRPr="00FA2DA5" w:rsidTr="00A42C5E">
        <w:tc>
          <w:tcPr>
            <w:tcW w:w="440" w:type="dxa"/>
          </w:tcPr>
          <w:p w:rsidR="00FD5B5B" w:rsidRPr="00FA2DA5" w:rsidRDefault="00FD5B5B">
            <w:r w:rsidRPr="00FA2DA5">
              <w:t>3</w:t>
            </w:r>
          </w:p>
        </w:tc>
        <w:tc>
          <w:tcPr>
            <w:tcW w:w="2565" w:type="dxa"/>
          </w:tcPr>
          <w:p w:rsidR="00FD5B5B" w:rsidRPr="00FA2DA5" w:rsidRDefault="00FD5B5B">
            <w:r w:rsidRPr="00FA2DA5">
              <w:t xml:space="preserve">INCOIS to investigate why the number of BUFR </w:t>
            </w:r>
            <w:r w:rsidRPr="00FA2DA5">
              <w:lastRenderedPageBreak/>
              <w:t>message is very low compared to TESAC</w:t>
            </w:r>
          </w:p>
        </w:tc>
        <w:tc>
          <w:tcPr>
            <w:tcW w:w="997" w:type="dxa"/>
          </w:tcPr>
          <w:p w:rsidR="00FD5B5B" w:rsidRPr="00FA2DA5" w:rsidRDefault="00FD5B5B">
            <w:r w:rsidRPr="00FA2DA5">
              <w:lastRenderedPageBreak/>
              <w:t>AST19</w:t>
            </w:r>
          </w:p>
        </w:tc>
        <w:tc>
          <w:tcPr>
            <w:tcW w:w="1456" w:type="dxa"/>
          </w:tcPr>
          <w:p w:rsidR="00FD5B5B" w:rsidRPr="00FA2DA5" w:rsidRDefault="00FD5B5B">
            <w:proofErr w:type="spellStart"/>
            <w:r w:rsidRPr="00FA2DA5">
              <w:t>Uday</w:t>
            </w:r>
            <w:proofErr w:type="spellEnd"/>
          </w:p>
        </w:tc>
        <w:tc>
          <w:tcPr>
            <w:tcW w:w="874" w:type="dxa"/>
          </w:tcPr>
          <w:p w:rsidR="00FD5B5B" w:rsidRPr="00FA2DA5" w:rsidRDefault="00FD5B5B">
            <w:r w:rsidRPr="00FA2DA5">
              <w:t>H</w:t>
            </w:r>
          </w:p>
        </w:tc>
        <w:tc>
          <w:tcPr>
            <w:tcW w:w="5980" w:type="dxa"/>
          </w:tcPr>
          <w:p w:rsidR="00FD5B5B" w:rsidRPr="00FA2DA5" w:rsidRDefault="00D1488F">
            <w:r>
              <w:t xml:space="preserve">Resolved.  Some BUFR codes were missing, but now A. Tran has them and numbers should increase.  See A. Tran’s report at </w:t>
            </w:r>
            <w:r>
              <w:lastRenderedPageBreak/>
              <w:t>ADMT-19</w:t>
            </w:r>
          </w:p>
        </w:tc>
      </w:tr>
      <w:tr w:rsidR="00C40875" w:rsidRPr="00FA2DA5" w:rsidTr="00A42C5E">
        <w:tc>
          <w:tcPr>
            <w:tcW w:w="440" w:type="dxa"/>
          </w:tcPr>
          <w:p w:rsidR="00FD5B5B" w:rsidRPr="00FA2DA5" w:rsidRDefault="00FD5B5B">
            <w:r w:rsidRPr="00FA2DA5">
              <w:lastRenderedPageBreak/>
              <w:t>4</w:t>
            </w:r>
          </w:p>
        </w:tc>
        <w:tc>
          <w:tcPr>
            <w:tcW w:w="2565" w:type="dxa"/>
          </w:tcPr>
          <w:p w:rsidR="00FD5B5B" w:rsidRPr="00FA2DA5" w:rsidRDefault="00FD5B5B">
            <w:r w:rsidRPr="00FA2DA5">
              <w:t>Inform WMO users of the official end of Argo Tesac messages on 1s</w:t>
            </w:r>
            <w:r w:rsidR="00447001" w:rsidRPr="00FA2DA5">
              <w:t>t July 2018.  Post message on Argo websites.</w:t>
            </w:r>
          </w:p>
        </w:tc>
        <w:tc>
          <w:tcPr>
            <w:tcW w:w="997" w:type="dxa"/>
          </w:tcPr>
          <w:p w:rsidR="00FD5B5B" w:rsidRPr="00FA2DA5" w:rsidRDefault="00447001">
            <w:r w:rsidRPr="00FA2DA5">
              <w:t>January 2018</w:t>
            </w:r>
          </w:p>
        </w:tc>
        <w:tc>
          <w:tcPr>
            <w:tcW w:w="1456" w:type="dxa"/>
          </w:tcPr>
          <w:p w:rsidR="00FD5B5B" w:rsidRPr="00FA2DA5" w:rsidRDefault="00447001">
            <w:r w:rsidRPr="00FA2DA5">
              <w:t xml:space="preserve">M. </w:t>
            </w:r>
            <w:proofErr w:type="spellStart"/>
            <w:r w:rsidR="00F5506B">
              <w:t>Belbéoch</w:t>
            </w:r>
            <w:proofErr w:type="spellEnd"/>
          </w:p>
          <w:p w:rsidR="00447001" w:rsidRPr="00FA2DA5" w:rsidRDefault="00447001">
            <w:r w:rsidRPr="00FA2DA5">
              <w:t xml:space="preserve">J. </w:t>
            </w:r>
            <w:proofErr w:type="spellStart"/>
            <w:r w:rsidRPr="00FA2DA5">
              <w:t>Turton</w:t>
            </w:r>
            <w:proofErr w:type="spellEnd"/>
          </w:p>
          <w:p w:rsidR="00447001" w:rsidRPr="00FA2DA5" w:rsidRDefault="00447001">
            <w:r w:rsidRPr="00FA2DA5">
              <w:t>M. Scanderbeg</w:t>
            </w:r>
          </w:p>
          <w:p w:rsidR="00447001" w:rsidRPr="00FA2DA5" w:rsidRDefault="00447001">
            <w:r w:rsidRPr="00FA2DA5">
              <w:t xml:space="preserve">T. </w:t>
            </w:r>
            <w:proofErr w:type="spellStart"/>
            <w:r w:rsidRPr="00FA2DA5">
              <w:t>Carval</w:t>
            </w:r>
            <w:proofErr w:type="spellEnd"/>
          </w:p>
        </w:tc>
        <w:tc>
          <w:tcPr>
            <w:tcW w:w="874" w:type="dxa"/>
          </w:tcPr>
          <w:p w:rsidR="00FD5B5B" w:rsidRPr="00FA2DA5" w:rsidRDefault="00447001">
            <w:r w:rsidRPr="00FA2DA5">
              <w:t>R</w:t>
            </w:r>
          </w:p>
        </w:tc>
        <w:tc>
          <w:tcPr>
            <w:tcW w:w="5980" w:type="dxa"/>
          </w:tcPr>
          <w:p w:rsidR="00FD5B5B" w:rsidRPr="00FA2DA5" w:rsidRDefault="000372DB">
            <w:r>
              <w:t>Done</w:t>
            </w:r>
          </w:p>
        </w:tc>
      </w:tr>
      <w:tr w:rsidR="00C40875" w:rsidRPr="00FA2DA5" w:rsidTr="00A42C5E">
        <w:tc>
          <w:tcPr>
            <w:tcW w:w="440" w:type="dxa"/>
          </w:tcPr>
          <w:p w:rsidR="00FD5B5B" w:rsidRPr="00FA2DA5" w:rsidRDefault="00447001">
            <w:r w:rsidRPr="00FA2DA5">
              <w:t>5</w:t>
            </w:r>
          </w:p>
        </w:tc>
        <w:tc>
          <w:tcPr>
            <w:tcW w:w="2565" w:type="dxa"/>
          </w:tcPr>
          <w:p w:rsidR="00447001" w:rsidRPr="00FA2DA5" w:rsidRDefault="00447001" w:rsidP="00447001">
            <w:r w:rsidRPr="00FA2DA5">
              <w:t>All DACs to stop sending Tesac messages on 1</w:t>
            </w:r>
            <w:r w:rsidRPr="00FA2DA5">
              <w:rPr>
                <w:vertAlign w:val="superscript"/>
              </w:rPr>
              <w:t>st</w:t>
            </w:r>
            <w:r w:rsidRPr="00FA2DA5">
              <w:t xml:space="preserve"> July 2018. </w:t>
            </w:r>
          </w:p>
          <w:p w:rsidR="00FD5B5B" w:rsidRPr="00FA2DA5" w:rsidRDefault="00FD5B5B"/>
        </w:tc>
        <w:tc>
          <w:tcPr>
            <w:tcW w:w="997" w:type="dxa"/>
          </w:tcPr>
          <w:p w:rsidR="00FD5B5B" w:rsidRPr="00FA2DA5" w:rsidRDefault="00447001">
            <w:r w:rsidRPr="00FA2DA5">
              <w:t>July 2018</w:t>
            </w:r>
          </w:p>
        </w:tc>
        <w:tc>
          <w:tcPr>
            <w:tcW w:w="1456" w:type="dxa"/>
          </w:tcPr>
          <w:p w:rsidR="00FD5B5B" w:rsidRPr="00FA2DA5" w:rsidRDefault="00447001">
            <w:r w:rsidRPr="00FA2DA5">
              <w:t>DACs</w:t>
            </w:r>
          </w:p>
        </w:tc>
        <w:tc>
          <w:tcPr>
            <w:tcW w:w="874" w:type="dxa"/>
          </w:tcPr>
          <w:p w:rsidR="00FD5B5B" w:rsidRPr="00FA2DA5" w:rsidRDefault="00447001">
            <w:r w:rsidRPr="00FA2DA5">
              <w:t>R</w:t>
            </w:r>
          </w:p>
        </w:tc>
        <w:tc>
          <w:tcPr>
            <w:tcW w:w="5980" w:type="dxa"/>
          </w:tcPr>
          <w:p w:rsidR="00347EB4" w:rsidRDefault="00347EB4">
            <w:r>
              <w:t>Done except for JMA.</w:t>
            </w:r>
          </w:p>
          <w:p w:rsidR="00060F48" w:rsidRPr="00FA2DA5" w:rsidRDefault="00060F48">
            <w:r w:rsidRPr="005F6029">
              <w:rPr>
                <w:rFonts w:hint="eastAsia"/>
                <w:color w:val="FF0000"/>
                <w:lang w:eastAsia="ja-JP"/>
              </w:rPr>
              <w:t xml:space="preserve">JMA has not stopped yet, due to </w:t>
            </w:r>
            <w:r w:rsidRPr="005F6029">
              <w:rPr>
                <w:color w:val="FF0000"/>
                <w:lang w:eastAsia="ja-JP"/>
              </w:rPr>
              <w:t>our internal circumstances</w:t>
            </w:r>
            <w:r w:rsidRPr="005F6029">
              <w:rPr>
                <w:rFonts w:hint="eastAsia"/>
                <w:color w:val="FF0000"/>
                <w:lang w:eastAsia="ja-JP"/>
              </w:rPr>
              <w:t xml:space="preserve">. JMA will stop sending Tesac as soon as </w:t>
            </w:r>
            <w:r w:rsidRPr="005F6029">
              <w:rPr>
                <w:color w:val="FF0000"/>
                <w:lang w:eastAsia="ja-JP"/>
              </w:rPr>
              <w:t>possible</w:t>
            </w:r>
            <w:r w:rsidRPr="005F6029">
              <w:rPr>
                <w:rFonts w:hint="eastAsia"/>
                <w:color w:val="FF0000"/>
                <w:lang w:eastAsia="ja-JP"/>
              </w:rPr>
              <w:t>.</w:t>
            </w:r>
          </w:p>
        </w:tc>
      </w:tr>
      <w:tr w:rsidR="00C40875" w:rsidRPr="00FA2DA5" w:rsidTr="00A42C5E">
        <w:tc>
          <w:tcPr>
            <w:tcW w:w="440" w:type="dxa"/>
          </w:tcPr>
          <w:p w:rsidR="00FD5B5B" w:rsidRPr="00FA2DA5" w:rsidRDefault="00447001">
            <w:r w:rsidRPr="00FA2DA5">
              <w:t>6</w:t>
            </w:r>
          </w:p>
        </w:tc>
        <w:tc>
          <w:tcPr>
            <w:tcW w:w="2565" w:type="dxa"/>
          </w:tcPr>
          <w:p w:rsidR="00FD5B5B" w:rsidRPr="00FA2DA5" w:rsidRDefault="00447001">
            <w:proofErr w:type="spellStart"/>
            <w:r w:rsidRPr="00FA2DA5">
              <w:t>MetOffice</w:t>
            </w:r>
            <w:proofErr w:type="spellEnd"/>
            <w:r w:rsidRPr="00FA2DA5">
              <w:t xml:space="preserve"> to provide the python BUFR converter to Thierry to  be made available in the Tools section of the ADMT website and possibly on AIC  website</w:t>
            </w:r>
          </w:p>
        </w:tc>
        <w:tc>
          <w:tcPr>
            <w:tcW w:w="997" w:type="dxa"/>
          </w:tcPr>
          <w:p w:rsidR="00FD5B5B" w:rsidRPr="00FA2DA5" w:rsidRDefault="00447001">
            <w:r w:rsidRPr="00FA2DA5">
              <w:t>ADMT19</w:t>
            </w:r>
          </w:p>
        </w:tc>
        <w:tc>
          <w:tcPr>
            <w:tcW w:w="1456" w:type="dxa"/>
          </w:tcPr>
          <w:p w:rsidR="00FD5B5B" w:rsidRPr="00FA2DA5" w:rsidRDefault="00447001">
            <w:proofErr w:type="spellStart"/>
            <w:r w:rsidRPr="00FA2DA5">
              <w:t>MetOffice</w:t>
            </w:r>
            <w:proofErr w:type="spellEnd"/>
          </w:p>
        </w:tc>
        <w:tc>
          <w:tcPr>
            <w:tcW w:w="874" w:type="dxa"/>
          </w:tcPr>
          <w:p w:rsidR="00FD5B5B" w:rsidRPr="00FA2DA5" w:rsidRDefault="00447001">
            <w:r w:rsidRPr="00FA2DA5">
              <w:t>R</w:t>
            </w:r>
          </w:p>
        </w:tc>
        <w:tc>
          <w:tcPr>
            <w:tcW w:w="5980" w:type="dxa"/>
          </w:tcPr>
          <w:p w:rsidR="00FD5B5B" w:rsidRPr="00FA2DA5" w:rsidRDefault="000372DB">
            <w:r>
              <w:t>Done</w:t>
            </w:r>
          </w:p>
        </w:tc>
      </w:tr>
      <w:tr w:rsidR="00C40875" w:rsidRPr="00FA2DA5" w:rsidTr="00A42C5E">
        <w:tc>
          <w:tcPr>
            <w:tcW w:w="440" w:type="dxa"/>
          </w:tcPr>
          <w:p w:rsidR="00FD5B5B" w:rsidRPr="00FA2DA5" w:rsidRDefault="00447001">
            <w:r w:rsidRPr="00FA2DA5">
              <w:t>7</w:t>
            </w:r>
          </w:p>
        </w:tc>
        <w:tc>
          <w:tcPr>
            <w:tcW w:w="2565" w:type="dxa"/>
          </w:tcPr>
          <w:p w:rsidR="004C733B" w:rsidRPr="00FA2DA5" w:rsidRDefault="004C733B" w:rsidP="004C733B">
            <w:proofErr w:type="spellStart"/>
            <w:r w:rsidRPr="00FA2DA5">
              <w:t>Kordi</w:t>
            </w:r>
            <w:proofErr w:type="spellEnd"/>
            <w:r w:rsidRPr="00FA2DA5">
              <w:t xml:space="preserve"> to provide feedback contact name for anomaly corrections by Christine</w:t>
            </w:r>
          </w:p>
          <w:p w:rsidR="00FD5B5B" w:rsidRPr="00FA2DA5" w:rsidRDefault="00FD5B5B"/>
        </w:tc>
        <w:tc>
          <w:tcPr>
            <w:tcW w:w="997" w:type="dxa"/>
          </w:tcPr>
          <w:p w:rsidR="00FD5B5B" w:rsidRPr="00FA2DA5" w:rsidRDefault="004C733B">
            <w:r w:rsidRPr="00FA2DA5">
              <w:t>AST19</w:t>
            </w:r>
          </w:p>
        </w:tc>
        <w:tc>
          <w:tcPr>
            <w:tcW w:w="1456" w:type="dxa"/>
          </w:tcPr>
          <w:p w:rsidR="00FD5B5B" w:rsidRPr="00FA2DA5" w:rsidRDefault="004C733B">
            <w:proofErr w:type="spellStart"/>
            <w:r w:rsidRPr="00FA2DA5">
              <w:t>Kordi</w:t>
            </w:r>
            <w:proofErr w:type="spellEnd"/>
          </w:p>
        </w:tc>
        <w:tc>
          <w:tcPr>
            <w:tcW w:w="874" w:type="dxa"/>
          </w:tcPr>
          <w:p w:rsidR="00FD5B5B" w:rsidRPr="00FA2DA5" w:rsidRDefault="004C733B">
            <w:r w:rsidRPr="00FA2DA5">
              <w:t>R</w:t>
            </w:r>
          </w:p>
        </w:tc>
        <w:tc>
          <w:tcPr>
            <w:tcW w:w="5980" w:type="dxa"/>
          </w:tcPr>
          <w:p w:rsidR="00FD5B5B" w:rsidRPr="00FA2DA5" w:rsidRDefault="00902B69">
            <w:r>
              <w:t>Done</w:t>
            </w:r>
          </w:p>
        </w:tc>
      </w:tr>
      <w:tr w:rsidR="00A42C5E" w:rsidRPr="00FA2DA5" w:rsidTr="00A42C5E">
        <w:tc>
          <w:tcPr>
            <w:tcW w:w="440" w:type="dxa"/>
          </w:tcPr>
          <w:p w:rsidR="00A42C5E" w:rsidRPr="00FA2DA5" w:rsidRDefault="00A42C5E">
            <w:r w:rsidRPr="00FA2DA5">
              <w:t>8</w:t>
            </w:r>
          </w:p>
        </w:tc>
        <w:tc>
          <w:tcPr>
            <w:tcW w:w="2565" w:type="dxa"/>
          </w:tcPr>
          <w:p w:rsidR="00A42C5E" w:rsidRPr="00FA2DA5" w:rsidRDefault="00A42C5E" w:rsidP="001A38F2">
            <w:r w:rsidRPr="00FA2DA5">
              <w:t>Mathieu to monitor the Monthly check anomalies in the JCOMMOPS system. Feed ADMT/AST co-chairs if profiles on list repeatedly</w:t>
            </w:r>
          </w:p>
        </w:tc>
        <w:tc>
          <w:tcPr>
            <w:tcW w:w="997" w:type="dxa"/>
          </w:tcPr>
          <w:p w:rsidR="00A42C5E" w:rsidRPr="00FA2DA5" w:rsidRDefault="00A42C5E">
            <w:r w:rsidRPr="00FA2DA5">
              <w:t>ADMT19</w:t>
            </w:r>
          </w:p>
        </w:tc>
        <w:tc>
          <w:tcPr>
            <w:tcW w:w="1456" w:type="dxa"/>
          </w:tcPr>
          <w:p w:rsidR="00A42C5E" w:rsidRPr="00FA2DA5" w:rsidRDefault="00A42C5E">
            <w:r w:rsidRPr="00FA2DA5">
              <w:t>Mathieu, Christine</w:t>
            </w:r>
          </w:p>
        </w:tc>
        <w:tc>
          <w:tcPr>
            <w:tcW w:w="874" w:type="dxa"/>
          </w:tcPr>
          <w:p w:rsidR="00A42C5E" w:rsidRPr="00FA2DA5" w:rsidRDefault="00A42C5E">
            <w:r w:rsidRPr="00FA2DA5">
              <w:t>R</w:t>
            </w:r>
          </w:p>
        </w:tc>
        <w:tc>
          <w:tcPr>
            <w:tcW w:w="5980" w:type="dxa"/>
          </w:tcPr>
          <w:p w:rsidR="00A42C5E" w:rsidRPr="0031105F" w:rsidRDefault="00A42C5E" w:rsidP="002B3F3C">
            <w:hyperlink r:id="rId6" w:history="1">
              <w:r w:rsidRPr="0031105F">
                <w:rPr>
                  <w:rStyle w:val="Hyperlink"/>
                </w:rPr>
                <w:t>ftp://ftp.ifremer.fr/ifremer/argo/etc/ObjectiveAnalysisWarning/</w:t>
              </w:r>
            </w:hyperlink>
          </w:p>
          <w:p w:rsidR="00A42C5E" w:rsidRPr="0031105F" w:rsidRDefault="00A42C5E" w:rsidP="002B3F3C">
            <w:proofErr w:type="gramStart"/>
            <w:r w:rsidRPr="0031105F">
              <w:t>to</w:t>
            </w:r>
            <w:proofErr w:type="gramEnd"/>
            <w:r w:rsidRPr="0031105F">
              <w:t xml:space="preserve"> be done late 2018.</w:t>
            </w:r>
          </w:p>
        </w:tc>
      </w:tr>
      <w:tr w:rsidR="00A42C5E" w:rsidRPr="00FA2DA5" w:rsidTr="00A42C5E">
        <w:tc>
          <w:tcPr>
            <w:tcW w:w="440" w:type="dxa"/>
          </w:tcPr>
          <w:p w:rsidR="00A42C5E" w:rsidRPr="00FA2DA5" w:rsidRDefault="00A42C5E">
            <w:r w:rsidRPr="00FA2DA5">
              <w:t>9</w:t>
            </w:r>
          </w:p>
        </w:tc>
        <w:tc>
          <w:tcPr>
            <w:tcW w:w="2565" w:type="dxa"/>
          </w:tcPr>
          <w:p w:rsidR="00A42C5E" w:rsidRPr="00FA2DA5" w:rsidRDefault="00A42C5E" w:rsidP="001A38F2">
            <w:r w:rsidRPr="00FA2DA5">
              <w:t xml:space="preserve">Mathieu to modify the AIC warning system to separate out floats that need to be checked and floats that may need to be </w:t>
            </w:r>
            <w:proofErr w:type="spellStart"/>
            <w:r w:rsidRPr="00FA2DA5">
              <w:t>greylisted</w:t>
            </w:r>
            <w:proofErr w:type="spellEnd"/>
            <w:r w:rsidRPr="00FA2DA5">
              <w:t xml:space="preserve"> from S. </w:t>
            </w:r>
            <w:proofErr w:type="spellStart"/>
            <w:r w:rsidRPr="00FA2DA5">
              <w:t>Guinehut’s</w:t>
            </w:r>
            <w:proofErr w:type="spellEnd"/>
            <w:r w:rsidRPr="00FA2DA5">
              <w:t xml:space="preserve"> comparison with altimetry and send them to appropriate person.  Real time files to DAC.  D files to DAC and </w:t>
            </w:r>
            <w:proofErr w:type="spellStart"/>
            <w:r w:rsidRPr="00FA2DA5">
              <w:t>dmode</w:t>
            </w:r>
            <w:proofErr w:type="spellEnd"/>
            <w:r w:rsidRPr="00FA2DA5">
              <w:t xml:space="preserve"> operator. </w:t>
            </w:r>
          </w:p>
        </w:tc>
        <w:tc>
          <w:tcPr>
            <w:tcW w:w="997" w:type="dxa"/>
          </w:tcPr>
          <w:p w:rsidR="00A42C5E" w:rsidRPr="00FA2DA5" w:rsidRDefault="00A42C5E">
            <w:r w:rsidRPr="00FA2DA5">
              <w:t>ADMT19</w:t>
            </w:r>
          </w:p>
        </w:tc>
        <w:tc>
          <w:tcPr>
            <w:tcW w:w="1456" w:type="dxa"/>
          </w:tcPr>
          <w:p w:rsidR="00A42C5E" w:rsidRPr="00FA2DA5" w:rsidRDefault="00A42C5E">
            <w:r w:rsidRPr="00FA2DA5">
              <w:t>Mathieu, Stephanie</w:t>
            </w:r>
          </w:p>
        </w:tc>
        <w:tc>
          <w:tcPr>
            <w:tcW w:w="874" w:type="dxa"/>
          </w:tcPr>
          <w:p w:rsidR="00A42C5E" w:rsidRPr="00FA2DA5" w:rsidRDefault="00A42C5E">
            <w:r w:rsidRPr="00FA2DA5">
              <w:t>R</w:t>
            </w:r>
          </w:p>
        </w:tc>
        <w:tc>
          <w:tcPr>
            <w:tcW w:w="5980" w:type="dxa"/>
          </w:tcPr>
          <w:p w:rsidR="00A42C5E" w:rsidRPr="00FA2DA5" w:rsidRDefault="00A42C5E" w:rsidP="002B3F3C">
            <w:r w:rsidRPr="0031105F">
              <w:t>Done. See JCOMMOPS report for details.</w:t>
            </w:r>
          </w:p>
        </w:tc>
      </w:tr>
      <w:tr w:rsidR="001D6A2C" w:rsidRPr="00FA2DA5" w:rsidTr="00A42C5E">
        <w:tc>
          <w:tcPr>
            <w:tcW w:w="440" w:type="dxa"/>
          </w:tcPr>
          <w:p w:rsidR="001A38F2" w:rsidRPr="00FA2DA5" w:rsidRDefault="001A38F2">
            <w:r w:rsidRPr="00FA2DA5">
              <w:t>10</w:t>
            </w:r>
          </w:p>
        </w:tc>
        <w:tc>
          <w:tcPr>
            <w:tcW w:w="2565" w:type="dxa"/>
          </w:tcPr>
          <w:p w:rsidR="001A38F2" w:rsidRPr="00FA2DA5" w:rsidRDefault="001A38F2" w:rsidP="00C96494">
            <w:r w:rsidRPr="00FA2DA5">
              <w:t xml:space="preserve">Study how to improve the Spike and density test : use threshold per meter: </w:t>
            </w:r>
          </w:p>
        </w:tc>
        <w:tc>
          <w:tcPr>
            <w:tcW w:w="997" w:type="dxa"/>
          </w:tcPr>
          <w:p w:rsidR="001A38F2" w:rsidRPr="00FA2DA5" w:rsidRDefault="001A38F2">
            <w:r w:rsidRPr="00FA2DA5">
              <w:t>ADMT19</w:t>
            </w:r>
          </w:p>
        </w:tc>
        <w:tc>
          <w:tcPr>
            <w:tcW w:w="1456" w:type="dxa"/>
          </w:tcPr>
          <w:p w:rsidR="001A38F2" w:rsidRPr="00FA2DA5" w:rsidRDefault="001A38F2">
            <w:r w:rsidRPr="00FA2DA5">
              <w:t>Christine</w:t>
            </w:r>
          </w:p>
        </w:tc>
        <w:tc>
          <w:tcPr>
            <w:tcW w:w="874" w:type="dxa"/>
          </w:tcPr>
          <w:p w:rsidR="001A38F2" w:rsidRPr="00FA2DA5" w:rsidRDefault="001A38F2">
            <w:r w:rsidRPr="00FA2DA5">
              <w:t>R</w:t>
            </w:r>
          </w:p>
        </w:tc>
        <w:tc>
          <w:tcPr>
            <w:tcW w:w="5980" w:type="dxa"/>
          </w:tcPr>
          <w:p w:rsidR="001A38F2" w:rsidRPr="00FA2DA5" w:rsidRDefault="00C96494">
            <w:r>
              <w:t>In progress</w:t>
            </w:r>
            <w:r w:rsidR="00BD79D2">
              <w:t>.  Will present at mtg.</w:t>
            </w:r>
          </w:p>
        </w:tc>
      </w:tr>
      <w:tr w:rsidR="001D6A2C" w:rsidRPr="00FA2DA5" w:rsidTr="00A42C5E">
        <w:tc>
          <w:tcPr>
            <w:tcW w:w="440" w:type="dxa"/>
          </w:tcPr>
          <w:p w:rsidR="001A38F2" w:rsidRPr="00FA2DA5" w:rsidRDefault="001A38F2">
            <w:r w:rsidRPr="00FA2DA5">
              <w:t>11</w:t>
            </w:r>
          </w:p>
        </w:tc>
        <w:tc>
          <w:tcPr>
            <w:tcW w:w="2565" w:type="dxa"/>
          </w:tcPr>
          <w:p w:rsidR="001A38F2" w:rsidRPr="00FA2DA5" w:rsidRDefault="001A38F2" w:rsidP="001A38F2">
            <w:r w:rsidRPr="00FA2DA5">
              <w:t xml:space="preserve">Can we build a gradient climatology from Argo with good un-corrected data  as done for the min max range by J </w:t>
            </w:r>
            <w:proofErr w:type="spellStart"/>
            <w:r w:rsidRPr="00FA2DA5">
              <w:t>Gourrion</w:t>
            </w:r>
            <w:proofErr w:type="spellEnd"/>
            <w:r w:rsidRPr="00FA2DA5">
              <w:t xml:space="preserve"> at </w:t>
            </w:r>
            <w:proofErr w:type="spellStart"/>
            <w:r w:rsidRPr="00FA2DA5">
              <w:t>Ifremer</w:t>
            </w:r>
            <w:proofErr w:type="spellEnd"/>
            <w:r w:rsidRPr="00FA2DA5">
              <w:t xml:space="preserve"> : </w:t>
            </w:r>
            <w:proofErr w:type="spellStart"/>
            <w:r w:rsidRPr="00FA2DA5">
              <w:t>Breck</w:t>
            </w:r>
            <w:proofErr w:type="spellEnd"/>
            <w:r w:rsidRPr="00FA2DA5">
              <w:t xml:space="preserve">/Susan/Jerome to study </w:t>
            </w:r>
          </w:p>
        </w:tc>
        <w:tc>
          <w:tcPr>
            <w:tcW w:w="997" w:type="dxa"/>
          </w:tcPr>
          <w:p w:rsidR="001A38F2" w:rsidRPr="00FA2DA5" w:rsidRDefault="001A38F2">
            <w:r w:rsidRPr="00FA2DA5">
              <w:t>ADMT19</w:t>
            </w:r>
          </w:p>
        </w:tc>
        <w:tc>
          <w:tcPr>
            <w:tcW w:w="1456" w:type="dxa"/>
          </w:tcPr>
          <w:p w:rsidR="001A38F2" w:rsidRPr="00FA2DA5" w:rsidRDefault="001A38F2">
            <w:r w:rsidRPr="00FA2DA5">
              <w:t xml:space="preserve">J. </w:t>
            </w:r>
            <w:proofErr w:type="spellStart"/>
            <w:r w:rsidRPr="00FA2DA5">
              <w:t>Gourrion</w:t>
            </w:r>
            <w:proofErr w:type="spellEnd"/>
            <w:r w:rsidRPr="00FA2DA5">
              <w:t xml:space="preserve">, B. Owens, S. </w:t>
            </w:r>
            <w:proofErr w:type="spellStart"/>
            <w:r w:rsidRPr="00FA2DA5">
              <w:t>Wijffels</w:t>
            </w:r>
            <w:proofErr w:type="spellEnd"/>
          </w:p>
        </w:tc>
        <w:tc>
          <w:tcPr>
            <w:tcW w:w="874" w:type="dxa"/>
          </w:tcPr>
          <w:p w:rsidR="001A38F2" w:rsidRPr="00FA2DA5" w:rsidRDefault="001A38F2">
            <w:r w:rsidRPr="00FA2DA5">
              <w:t>R</w:t>
            </w:r>
          </w:p>
        </w:tc>
        <w:tc>
          <w:tcPr>
            <w:tcW w:w="5980" w:type="dxa"/>
          </w:tcPr>
          <w:p w:rsidR="001A38F2" w:rsidRPr="00FA2DA5" w:rsidRDefault="00BC62D7">
            <w:r>
              <w:t xml:space="preserve">In progress.  Will present at </w:t>
            </w:r>
            <w:proofErr w:type="spellStart"/>
            <w:r>
              <w:t>mtg</w:t>
            </w:r>
            <w:proofErr w:type="spellEnd"/>
          </w:p>
        </w:tc>
      </w:tr>
      <w:tr w:rsidR="001D6A2C" w:rsidRPr="00FA2DA5" w:rsidTr="00A42C5E">
        <w:tc>
          <w:tcPr>
            <w:tcW w:w="440" w:type="dxa"/>
          </w:tcPr>
          <w:p w:rsidR="001A38F2" w:rsidRPr="00FA2DA5" w:rsidRDefault="001A38F2">
            <w:r w:rsidRPr="00FA2DA5">
              <w:t>12</w:t>
            </w:r>
          </w:p>
        </w:tc>
        <w:tc>
          <w:tcPr>
            <w:tcW w:w="2565" w:type="dxa"/>
          </w:tcPr>
          <w:p w:rsidR="001A38F2" w:rsidRPr="00FA2DA5" w:rsidRDefault="001A38F2" w:rsidP="001A38F2">
            <w:bookmarkStart w:id="0" w:name="_Hlk500430128"/>
            <w:r w:rsidRPr="00FA2DA5">
              <w:t xml:space="preserve">Annie and Thierry will update the definition of the </w:t>
            </w:r>
            <w:proofErr w:type="spellStart"/>
            <w:r w:rsidRPr="00FA2DA5">
              <w:t>greylist</w:t>
            </w:r>
            <w:proofErr w:type="spellEnd"/>
            <w:r w:rsidRPr="00FA2DA5">
              <w:t xml:space="preserve"> to take into account BUFR.  Annie will update the QC Manual.</w:t>
            </w:r>
            <w:bookmarkEnd w:id="0"/>
          </w:p>
        </w:tc>
        <w:tc>
          <w:tcPr>
            <w:tcW w:w="997" w:type="dxa"/>
          </w:tcPr>
          <w:p w:rsidR="001A38F2" w:rsidRPr="00FA2DA5" w:rsidRDefault="001A38F2">
            <w:r w:rsidRPr="00FA2DA5">
              <w:t>AST19</w:t>
            </w:r>
          </w:p>
        </w:tc>
        <w:tc>
          <w:tcPr>
            <w:tcW w:w="1456" w:type="dxa"/>
          </w:tcPr>
          <w:p w:rsidR="001A38F2" w:rsidRPr="00FA2DA5" w:rsidRDefault="001A38F2">
            <w:r w:rsidRPr="00FA2DA5">
              <w:t xml:space="preserve">A. Wong, T. </w:t>
            </w:r>
            <w:proofErr w:type="spellStart"/>
            <w:r w:rsidRPr="00FA2DA5">
              <w:t>Carval</w:t>
            </w:r>
            <w:proofErr w:type="spellEnd"/>
          </w:p>
        </w:tc>
        <w:tc>
          <w:tcPr>
            <w:tcW w:w="874" w:type="dxa"/>
          </w:tcPr>
          <w:p w:rsidR="001A38F2" w:rsidRPr="00FA2DA5" w:rsidRDefault="001A38F2">
            <w:r w:rsidRPr="00FA2DA5">
              <w:t>R</w:t>
            </w:r>
          </w:p>
        </w:tc>
        <w:tc>
          <w:tcPr>
            <w:tcW w:w="5980" w:type="dxa"/>
          </w:tcPr>
          <w:p w:rsidR="001A38F2" w:rsidRPr="00FA2DA5" w:rsidRDefault="006E12ED">
            <w:r>
              <w:t>Done in January 2018</w:t>
            </w:r>
          </w:p>
        </w:tc>
      </w:tr>
      <w:tr w:rsidR="001D6A2C" w:rsidRPr="00FA2DA5" w:rsidTr="00A42C5E">
        <w:tc>
          <w:tcPr>
            <w:tcW w:w="440" w:type="dxa"/>
          </w:tcPr>
          <w:p w:rsidR="001A38F2" w:rsidRPr="00FA2DA5" w:rsidRDefault="001A38F2">
            <w:r w:rsidRPr="00FA2DA5">
              <w:t>13</w:t>
            </w:r>
          </w:p>
        </w:tc>
        <w:tc>
          <w:tcPr>
            <w:tcW w:w="2565" w:type="dxa"/>
          </w:tcPr>
          <w:p w:rsidR="001A38F2" w:rsidRPr="00FA2DA5" w:rsidRDefault="001A38F2" w:rsidP="001A38F2">
            <w:r w:rsidRPr="00FA2DA5">
              <w:t xml:space="preserve">Mathieu and </w:t>
            </w:r>
            <w:proofErr w:type="spellStart"/>
            <w:r w:rsidRPr="00FA2DA5">
              <w:t>Breck</w:t>
            </w:r>
            <w:proofErr w:type="spellEnd"/>
            <w:r w:rsidRPr="00FA2DA5">
              <w:t xml:space="preserve"> will contact RBR to obtain information from the manufacturer to fill the Argo meta- and technical- tables.  Immediate needs are a new WMO_INST_TYPE, and information to fill SENSOR_MODEL for CTD_PRES, CTD_TEMP, and CTD_CNDC</w:t>
            </w:r>
          </w:p>
        </w:tc>
        <w:tc>
          <w:tcPr>
            <w:tcW w:w="997" w:type="dxa"/>
          </w:tcPr>
          <w:p w:rsidR="001A38F2" w:rsidRPr="00FA2DA5" w:rsidRDefault="001A38F2">
            <w:r w:rsidRPr="00FA2DA5">
              <w:t>ADMT19</w:t>
            </w:r>
          </w:p>
        </w:tc>
        <w:tc>
          <w:tcPr>
            <w:tcW w:w="1456" w:type="dxa"/>
          </w:tcPr>
          <w:p w:rsidR="001A38F2" w:rsidRPr="00FA2DA5" w:rsidRDefault="001A38F2">
            <w:r w:rsidRPr="00FA2DA5">
              <w:t xml:space="preserve">M. </w:t>
            </w:r>
            <w:proofErr w:type="spellStart"/>
            <w:r w:rsidR="00F5506B">
              <w:t>Belbéoch</w:t>
            </w:r>
            <w:proofErr w:type="spellEnd"/>
            <w:r w:rsidRPr="00FA2DA5">
              <w:t>, B. Owens</w:t>
            </w:r>
          </w:p>
        </w:tc>
        <w:tc>
          <w:tcPr>
            <w:tcW w:w="874" w:type="dxa"/>
          </w:tcPr>
          <w:p w:rsidR="001A38F2" w:rsidRPr="00FA2DA5" w:rsidRDefault="001A38F2">
            <w:r w:rsidRPr="00FA2DA5">
              <w:t>R</w:t>
            </w:r>
          </w:p>
        </w:tc>
        <w:tc>
          <w:tcPr>
            <w:tcW w:w="5980" w:type="dxa"/>
          </w:tcPr>
          <w:p w:rsidR="001A38F2" w:rsidRPr="00FA2DA5" w:rsidRDefault="00FD6760">
            <w:r w:rsidRPr="00FD6760">
              <w:t>Contacted a couple of times. But no reply yet…</w:t>
            </w:r>
          </w:p>
        </w:tc>
      </w:tr>
      <w:tr w:rsidR="001D6A2C" w:rsidRPr="00FA2DA5" w:rsidTr="00A42C5E">
        <w:tc>
          <w:tcPr>
            <w:tcW w:w="440" w:type="dxa"/>
          </w:tcPr>
          <w:p w:rsidR="001A38F2" w:rsidRPr="00FA2DA5" w:rsidRDefault="001A38F2">
            <w:r w:rsidRPr="00FA2DA5">
              <w:t>14</w:t>
            </w:r>
          </w:p>
        </w:tc>
        <w:tc>
          <w:tcPr>
            <w:tcW w:w="2565" w:type="dxa"/>
          </w:tcPr>
          <w:p w:rsidR="001A38F2" w:rsidRPr="00FA2DA5" w:rsidRDefault="001A38F2" w:rsidP="001A38F2">
            <w:proofErr w:type="spellStart"/>
            <w:r w:rsidRPr="00FA2DA5">
              <w:t>Breck</w:t>
            </w:r>
            <w:proofErr w:type="spellEnd"/>
            <w:r w:rsidRPr="00FA2DA5">
              <w:t xml:space="preserve"> to check on whether FSI floats have been removed from </w:t>
            </w:r>
            <w:proofErr w:type="spellStart"/>
            <w:r w:rsidRPr="00FA2DA5">
              <w:t>greylist</w:t>
            </w:r>
            <w:proofErr w:type="spellEnd"/>
          </w:p>
        </w:tc>
        <w:tc>
          <w:tcPr>
            <w:tcW w:w="997" w:type="dxa"/>
          </w:tcPr>
          <w:p w:rsidR="001A38F2" w:rsidRPr="00FA2DA5" w:rsidRDefault="001A38F2">
            <w:r w:rsidRPr="00FA2DA5">
              <w:t>ADMT19</w:t>
            </w:r>
          </w:p>
        </w:tc>
        <w:tc>
          <w:tcPr>
            <w:tcW w:w="1456" w:type="dxa"/>
          </w:tcPr>
          <w:p w:rsidR="001A38F2" w:rsidRPr="00FA2DA5" w:rsidRDefault="001A38F2">
            <w:r w:rsidRPr="00FA2DA5">
              <w:t>B. Owens</w:t>
            </w:r>
          </w:p>
        </w:tc>
        <w:tc>
          <w:tcPr>
            <w:tcW w:w="874" w:type="dxa"/>
          </w:tcPr>
          <w:p w:rsidR="001A38F2" w:rsidRPr="00FA2DA5" w:rsidRDefault="001A38F2">
            <w:r w:rsidRPr="00FA2DA5">
              <w:t>R</w:t>
            </w:r>
          </w:p>
        </w:tc>
        <w:tc>
          <w:tcPr>
            <w:tcW w:w="5980" w:type="dxa"/>
          </w:tcPr>
          <w:p w:rsidR="001A38F2" w:rsidRPr="00FA2DA5" w:rsidRDefault="008E1DDC">
            <w:r>
              <w:t xml:space="preserve">20% still on </w:t>
            </w:r>
            <w:proofErr w:type="spellStart"/>
            <w:r>
              <w:t>greylist</w:t>
            </w:r>
            <w:proofErr w:type="spellEnd"/>
          </w:p>
        </w:tc>
      </w:tr>
      <w:tr w:rsidR="001D6A2C" w:rsidRPr="00FA2DA5" w:rsidTr="00A42C5E">
        <w:tc>
          <w:tcPr>
            <w:tcW w:w="440" w:type="dxa"/>
          </w:tcPr>
          <w:p w:rsidR="001A38F2" w:rsidRPr="00FA2DA5" w:rsidRDefault="001A38F2">
            <w:r w:rsidRPr="00FA2DA5">
              <w:t>15</w:t>
            </w:r>
          </w:p>
        </w:tc>
        <w:tc>
          <w:tcPr>
            <w:tcW w:w="2565" w:type="dxa"/>
          </w:tcPr>
          <w:p w:rsidR="001A38F2" w:rsidRPr="00FA2DA5" w:rsidRDefault="001A38F2" w:rsidP="001A38F2">
            <w:r w:rsidRPr="00FA2DA5">
              <w:t>Thierry and Mathieu to further investigate difference in GDAC delays</w:t>
            </w:r>
          </w:p>
        </w:tc>
        <w:tc>
          <w:tcPr>
            <w:tcW w:w="997" w:type="dxa"/>
          </w:tcPr>
          <w:p w:rsidR="001A38F2" w:rsidRPr="00FA2DA5" w:rsidRDefault="001A38F2">
            <w:r w:rsidRPr="00FA2DA5">
              <w:t>ADMT19</w:t>
            </w:r>
          </w:p>
        </w:tc>
        <w:tc>
          <w:tcPr>
            <w:tcW w:w="1456" w:type="dxa"/>
          </w:tcPr>
          <w:p w:rsidR="001A38F2" w:rsidRPr="00FA2DA5" w:rsidRDefault="001A38F2">
            <w:r w:rsidRPr="00FA2DA5">
              <w:t xml:space="preserve">T. </w:t>
            </w:r>
            <w:proofErr w:type="spellStart"/>
            <w:r w:rsidRPr="00FA2DA5">
              <w:t>Carval</w:t>
            </w:r>
            <w:proofErr w:type="spellEnd"/>
            <w:r w:rsidRPr="00FA2DA5">
              <w:t xml:space="preserve">, M. </w:t>
            </w:r>
            <w:proofErr w:type="spellStart"/>
            <w:r w:rsidR="00F5506B">
              <w:t>Belbéoch</w:t>
            </w:r>
            <w:proofErr w:type="spellEnd"/>
          </w:p>
        </w:tc>
        <w:tc>
          <w:tcPr>
            <w:tcW w:w="874" w:type="dxa"/>
          </w:tcPr>
          <w:p w:rsidR="001A38F2" w:rsidRPr="00FA2DA5" w:rsidRDefault="001A38F2">
            <w:r w:rsidRPr="00FA2DA5">
              <w:t>R</w:t>
            </w:r>
          </w:p>
        </w:tc>
        <w:tc>
          <w:tcPr>
            <w:tcW w:w="5980" w:type="dxa"/>
          </w:tcPr>
          <w:p w:rsidR="001A38F2" w:rsidRPr="00FA2DA5" w:rsidRDefault="00FD6760">
            <w:r>
              <w:t>In progress</w:t>
            </w:r>
          </w:p>
        </w:tc>
      </w:tr>
      <w:tr w:rsidR="00BB2A80" w:rsidRPr="00FA2DA5" w:rsidTr="00A42C5E">
        <w:tc>
          <w:tcPr>
            <w:tcW w:w="440" w:type="dxa"/>
          </w:tcPr>
          <w:p w:rsidR="00BB2A80" w:rsidRPr="00FA2DA5" w:rsidRDefault="00BB2A80">
            <w:r>
              <w:t>16</w:t>
            </w:r>
          </w:p>
        </w:tc>
        <w:tc>
          <w:tcPr>
            <w:tcW w:w="2565" w:type="dxa"/>
          </w:tcPr>
          <w:p w:rsidR="00BB2A80" w:rsidRPr="00FA2DA5" w:rsidRDefault="00D11E55" w:rsidP="001A38F2">
            <w:r>
              <w:t>Reduce number of significant digits in US GDAC GEO directory</w:t>
            </w:r>
          </w:p>
        </w:tc>
        <w:tc>
          <w:tcPr>
            <w:tcW w:w="997" w:type="dxa"/>
          </w:tcPr>
          <w:p w:rsidR="00BB2A80" w:rsidRPr="00FA2DA5" w:rsidRDefault="00D11E55">
            <w:r>
              <w:t>AST-19</w:t>
            </w:r>
          </w:p>
        </w:tc>
        <w:tc>
          <w:tcPr>
            <w:tcW w:w="1456" w:type="dxa"/>
          </w:tcPr>
          <w:p w:rsidR="00BB2A80" w:rsidRPr="00FA2DA5" w:rsidRDefault="00D11E55">
            <w:r>
              <w:t xml:space="preserve">M. </w:t>
            </w:r>
            <w:proofErr w:type="spellStart"/>
            <w:r>
              <w:t>Igna</w:t>
            </w:r>
            <w:r w:rsidR="003E210D">
              <w:t>s</w:t>
            </w:r>
            <w:r>
              <w:t>zewski</w:t>
            </w:r>
            <w:proofErr w:type="spellEnd"/>
          </w:p>
        </w:tc>
        <w:tc>
          <w:tcPr>
            <w:tcW w:w="874" w:type="dxa"/>
          </w:tcPr>
          <w:p w:rsidR="00BB2A80" w:rsidRPr="00FA2DA5" w:rsidRDefault="00D11E55">
            <w:r>
              <w:t>R</w:t>
            </w:r>
          </w:p>
        </w:tc>
        <w:tc>
          <w:tcPr>
            <w:tcW w:w="5980" w:type="dxa"/>
          </w:tcPr>
          <w:p w:rsidR="00BB2A80" w:rsidRDefault="00D11E55">
            <w:r>
              <w:t>done</w:t>
            </w:r>
          </w:p>
        </w:tc>
      </w:tr>
      <w:tr w:rsidR="001D6A2C" w:rsidRPr="00FA2DA5" w:rsidTr="00A42C5E">
        <w:tc>
          <w:tcPr>
            <w:tcW w:w="440" w:type="dxa"/>
          </w:tcPr>
          <w:p w:rsidR="001A38F2" w:rsidRPr="00FA2DA5" w:rsidRDefault="001A38F2">
            <w:r w:rsidRPr="00FA2DA5">
              <w:t>1</w:t>
            </w:r>
            <w:r w:rsidR="00BB2A80">
              <w:t>7</w:t>
            </w:r>
          </w:p>
        </w:tc>
        <w:tc>
          <w:tcPr>
            <w:tcW w:w="2565" w:type="dxa"/>
          </w:tcPr>
          <w:p w:rsidR="001A38F2" w:rsidRPr="00FA2DA5" w:rsidRDefault="001A38F2" w:rsidP="001A38F2">
            <w:r w:rsidRPr="00FA2DA5">
              <w:t>Set up the aux directory at US-GDAC</w:t>
            </w:r>
          </w:p>
        </w:tc>
        <w:tc>
          <w:tcPr>
            <w:tcW w:w="997" w:type="dxa"/>
          </w:tcPr>
          <w:p w:rsidR="001A38F2" w:rsidRPr="00FA2DA5" w:rsidRDefault="001A38F2">
            <w:r w:rsidRPr="00FA2DA5">
              <w:t>AST19</w:t>
            </w:r>
          </w:p>
        </w:tc>
        <w:tc>
          <w:tcPr>
            <w:tcW w:w="1456" w:type="dxa"/>
          </w:tcPr>
          <w:p w:rsidR="001A38F2" w:rsidRPr="00FA2DA5" w:rsidRDefault="00C40875">
            <w:r w:rsidRPr="00FA2DA5">
              <w:t>Mike</w:t>
            </w:r>
          </w:p>
        </w:tc>
        <w:tc>
          <w:tcPr>
            <w:tcW w:w="874" w:type="dxa"/>
          </w:tcPr>
          <w:p w:rsidR="001A38F2" w:rsidRPr="00FA2DA5" w:rsidRDefault="00C40875">
            <w:r w:rsidRPr="00FA2DA5">
              <w:t>R</w:t>
            </w:r>
          </w:p>
        </w:tc>
        <w:tc>
          <w:tcPr>
            <w:tcW w:w="5980" w:type="dxa"/>
          </w:tcPr>
          <w:p w:rsidR="001A38F2" w:rsidRPr="00FA2DA5" w:rsidRDefault="00F5506B">
            <w:r>
              <w:t>DONE (2018-01-02</w:t>
            </w:r>
            <w:bookmarkStart w:id="1" w:name="_GoBack"/>
            <w:bookmarkEnd w:id="1"/>
            <w:r>
              <w:t>)</w:t>
            </w:r>
          </w:p>
        </w:tc>
      </w:tr>
      <w:tr w:rsidR="001D6A2C" w:rsidRPr="00FA2DA5" w:rsidTr="00A42C5E">
        <w:tc>
          <w:tcPr>
            <w:tcW w:w="440" w:type="dxa"/>
          </w:tcPr>
          <w:p w:rsidR="00C40875" w:rsidRPr="00FA2DA5" w:rsidRDefault="00C40875">
            <w:r w:rsidRPr="00FA2DA5">
              <w:t>1</w:t>
            </w:r>
            <w:r w:rsidR="00BB2A80">
              <w:t>8</w:t>
            </w:r>
          </w:p>
        </w:tc>
        <w:tc>
          <w:tcPr>
            <w:tcW w:w="2565" w:type="dxa"/>
          </w:tcPr>
          <w:p w:rsidR="00C40875" w:rsidRPr="00FA2DA5" w:rsidRDefault="00C40875" w:rsidP="001A38F2">
            <w:r w:rsidRPr="00FA2DA5">
              <w:t xml:space="preserve">Thierry to go with proposal #2 for adding a new directory for index file.  Inform users on ADMT </w:t>
            </w:r>
            <w:proofErr w:type="spellStart"/>
            <w:r w:rsidRPr="00FA2DA5">
              <w:t>rsync</w:t>
            </w:r>
            <w:proofErr w:type="spellEnd"/>
            <w:r w:rsidRPr="00FA2DA5">
              <w:t xml:space="preserve"> page  </w:t>
            </w:r>
          </w:p>
        </w:tc>
        <w:tc>
          <w:tcPr>
            <w:tcW w:w="997" w:type="dxa"/>
          </w:tcPr>
          <w:p w:rsidR="00C40875" w:rsidRPr="00FA2DA5" w:rsidRDefault="00C40875">
            <w:r w:rsidRPr="00FA2DA5">
              <w:t>ADMT19</w:t>
            </w:r>
          </w:p>
        </w:tc>
        <w:tc>
          <w:tcPr>
            <w:tcW w:w="1456" w:type="dxa"/>
          </w:tcPr>
          <w:p w:rsidR="00C40875" w:rsidRPr="00FA2DA5" w:rsidRDefault="00C40875">
            <w:r w:rsidRPr="00FA2DA5">
              <w:t xml:space="preserve">T. </w:t>
            </w:r>
            <w:proofErr w:type="spellStart"/>
            <w:r w:rsidRPr="00FA2DA5">
              <w:t>Carval</w:t>
            </w:r>
            <w:proofErr w:type="spellEnd"/>
          </w:p>
        </w:tc>
        <w:tc>
          <w:tcPr>
            <w:tcW w:w="874" w:type="dxa"/>
          </w:tcPr>
          <w:p w:rsidR="00C40875" w:rsidRPr="00FA2DA5" w:rsidRDefault="00C40875">
            <w:r w:rsidRPr="00FA2DA5">
              <w:t>R</w:t>
            </w:r>
          </w:p>
        </w:tc>
        <w:tc>
          <w:tcPr>
            <w:tcW w:w="5980" w:type="dxa"/>
          </w:tcPr>
          <w:p w:rsidR="00C40875" w:rsidRPr="00FA2DA5" w:rsidRDefault="00C40875"/>
        </w:tc>
      </w:tr>
      <w:tr w:rsidR="001D6A2C" w:rsidRPr="00FA2DA5" w:rsidTr="00A42C5E">
        <w:tc>
          <w:tcPr>
            <w:tcW w:w="440" w:type="dxa"/>
          </w:tcPr>
          <w:p w:rsidR="00C40875" w:rsidRPr="00FA2DA5" w:rsidRDefault="00C40875">
            <w:r w:rsidRPr="00FA2DA5">
              <w:t>1</w:t>
            </w:r>
            <w:r w:rsidR="00BB2A80">
              <w:t>9</w:t>
            </w:r>
          </w:p>
        </w:tc>
        <w:tc>
          <w:tcPr>
            <w:tcW w:w="2565" w:type="dxa"/>
          </w:tcPr>
          <w:p w:rsidR="00C40875" w:rsidRPr="00FA2DA5" w:rsidRDefault="00C40875" w:rsidP="00C40875">
            <w:r w:rsidRPr="00FA2DA5">
              <w:t xml:space="preserve">Keep the action item to automatically resubmit all files if metafile is fixed within 7 days.    </w:t>
            </w:r>
          </w:p>
        </w:tc>
        <w:tc>
          <w:tcPr>
            <w:tcW w:w="997" w:type="dxa"/>
          </w:tcPr>
          <w:p w:rsidR="00C40875" w:rsidRPr="00FA2DA5" w:rsidRDefault="00C40875">
            <w:r w:rsidRPr="00FA2DA5">
              <w:t>ADMT19</w:t>
            </w:r>
          </w:p>
        </w:tc>
        <w:tc>
          <w:tcPr>
            <w:tcW w:w="1456" w:type="dxa"/>
          </w:tcPr>
          <w:p w:rsidR="00C40875" w:rsidRPr="00FA2DA5" w:rsidRDefault="00C40875">
            <w:r w:rsidRPr="00FA2DA5">
              <w:t xml:space="preserve">T. </w:t>
            </w:r>
            <w:proofErr w:type="spellStart"/>
            <w:r w:rsidRPr="00FA2DA5">
              <w:t>Carval</w:t>
            </w:r>
            <w:proofErr w:type="spellEnd"/>
            <w:r w:rsidRPr="00FA2DA5">
              <w:t xml:space="preserve">, M. Frost, M. </w:t>
            </w:r>
            <w:proofErr w:type="spellStart"/>
            <w:r w:rsidRPr="00FA2DA5">
              <w:t>Ignaszewski</w:t>
            </w:r>
            <w:proofErr w:type="spellEnd"/>
          </w:p>
        </w:tc>
        <w:tc>
          <w:tcPr>
            <w:tcW w:w="874" w:type="dxa"/>
          </w:tcPr>
          <w:p w:rsidR="00C40875" w:rsidRPr="00FA2DA5" w:rsidRDefault="00C40875">
            <w:r w:rsidRPr="00FA2DA5">
              <w:t>R</w:t>
            </w:r>
          </w:p>
        </w:tc>
        <w:tc>
          <w:tcPr>
            <w:tcW w:w="5980" w:type="dxa"/>
          </w:tcPr>
          <w:p w:rsidR="00C40875" w:rsidRPr="00FA2DA5" w:rsidRDefault="002D50CE">
            <w:r>
              <w:t>Done at US GDAC</w:t>
            </w:r>
          </w:p>
        </w:tc>
      </w:tr>
      <w:tr w:rsidR="00C40875" w:rsidRPr="00FA2DA5" w:rsidTr="00A42C5E">
        <w:tc>
          <w:tcPr>
            <w:tcW w:w="440" w:type="dxa"/>
          </w:tcPr>
          <w:p w:rsidR="00C40875" w:rsidRPr="00FA2DA5" w:rsidRDefault="00BB2A80">
            <w:r>
              <w:t>20</w:t>
            </w:r>
          </w:p>
        </w:tc>
        <w:tc>
          <w:tcPr>
            <w:tcW w:w="2565" w:type="dxa"/>
          </w:tcPr>
          <w:p w:rsidR="00C40875" w:rsidRPr="00FA2DA5" w:rsidRDefault="00C40875" w:rsidP="00C40875">
            <w:r w:rsidRPr="00FA2DA5">
              <w:t>Continue investigating ways to allow both GDACs to receive files from all DACs</w:t>
            </w:r>
          </w:p>
        </w:tc>
        <w:tc>
          <w:tcPr>
            <w:tcW w:w="997" w:type="dxa"/>
          </w:tcPr>
          <w:p w:rsidR="00C40875" w:rsidRPr="00FA2DA5" w:rsidRDefault="00C40875">
            <w:r w:rsidRPr="00FA2DA5">
              <w:t>ADMT19</w:t>
            </w:r>
          </w:p>
        </w:tc>
        <w:tc>
          <w:tcPr>
            <w:tcW w:w="1456" w:type="dxa"/>
          </w:tcPr>
          <w:p w:rsidR="00C40875" w:rsidRPr="00FA2DA5" w:rsidRDefault="00C40875">
            <w:r w:rsidRPr="00FA2DA5">
              <w:t>GDACs</w:t>
            </w:r>
          </w:p>
        </w:tc>
        <w:tc>
          <w:tcPr>
            <w:tcW w:w="874" w:type="dxa"/>
          </w:tcPr>
          <w:p w:rsidR="00C40875" w:rsidRPr="00FA2DA5" w:rsidRDefault="00C40875">
            <w:r w:rsidRPr="00FA2DA5">
              <w:t>R</w:t>
            </w:r>
          </w:p>
        </w:tc>
        <w:tc>
          <w:tcPr>
            <w:tcW w:w="5980" w:type="dxa"/>
          </w:tcPr>
          <w:p w:rsidR="00C40875" w:rsidRPr="00FA2DA5" w:rsidRDefault="002D50CE">
            <w:r>
              <w:t>Not Done</w:t>
            </w:r>
          </w:p>
        </w:tc>
      </w:tr>
      <w:tr w:rsidR="00FA2DA5" w:rsidRPr="00FA2DA5" w:rsidTr="00A42C5E">
        <w:tc>
          <w:tcPr>
            <w:tcW w:w="440" w:type="dxa"/>
          </w:tcPr>
          <w:p w:rsidR="00C40875" w:rsidRPr="00FA2DA5" w:rsidRDefault="00C40875">
            <w:r w:rsidRPr="00FA2DA5">
              <w:t>2</w:t>
            </w:r>
            <w:r w:rsidR="00BB2A80">
              <w:t>1</w:t>
            </w:r>
          </w:p>
        </w:tc>
        <w:tc>
          <w:tcPr>
            <w:tcW w:w="2565" w:type="dxa"/>
          </w:tcPr>
          <w:p w:rsidR="00C40875" w:rsidRPr="00FA2DA5" w:rsidRDefault="00C40875" w:rsidP="00C40875">
            <w:r w:rsidRPr="00FA2DA5">
              <w:t xml:space="preserve">Stop allowing </w:t>
            </w:r>
            <w:proofErr w:type="spellStart"/>
            <w:r w:rsidRPr="00FA2DA5">
              <w:t>Config</w:t>
            </w:r>
            <w:proofErr w:type="spellEnd"/>
            <w:r w:rsidRPr="00FA2DA5">
              <w:t xml:space="preserve"> Mission Number of 0 by AST</w:t>
            </w:r>
          </w:p>
        </w:tc>
        <w:tc>
          <w:tcPr>
            <w:tcW w:w="997" w:type="dxa"/>
          </w:tcPr>
          <w:p w:rsidR="00C40875" w:rsidRPr="00FA2DA5" w:rsidRDefault="00C40875">
            <w:r w:rsidRPr="00FA2DA5">
              <w:t>AST19</w:t>
            </w:r>
          </w:p>
        </w:tc>
        <w:tc>
          <w:tcPr>
            <w:tcW w:w="1456" w:type="dxa"/>
          </w:tcPr>
          <w:p w:rsidR="00C40875" w:rsidRPr="00FA2DA5" w:rsidRDefault="00C40875">
            <w:r w:rsidRPr="00FA2DA5">
              <w:t>DACs</w:t>
            </w:r>
          </w:p>
        </w:tc>
        <w:tc>
          <w:tcPr>
            <w:tcW w:w="874" w:type="dxa"/>
          </w:tcPr>
          <w:p w:rsidR="00C40875" w:rsidRPr="00FA2DA5" w:rsidRDefault="00C40875">
            <w:r w:rsidRPr="00FA2DA5">
              <w:t>R</w:t>
            </w:r>
          </w:p>
        </w:tc>
        <w:tc>
          <w:tcPr>
            <w:tcW w:w="5980" w:type="dxa"/>
          </w:tcPr>
          <w:p w:rsidR="00A61630" w:rsidRPr="00A61630" w:rsidRDefault="00A61630" w:rsidP="00A61630">
            <w:pPr>
              <w:rPr>
                <w:rFonts w:ascii="Calibri" w:eastAsia="Times New Roman" w:hAnsi="Calibri" w:cs="Calibri"/>
                <w:color w:val="000000"/>
              </w:rPr>
            </w:pPr>
            <w:r w:rsidRPr="00A61630">
              <w:rPr>
                <w:rFonts w:ascii="Calibri" w:eastAsia="Times New Roman" w:hAnsi="Calibri" w:cs="Calibri"/>
                <w:color w:val="000000"/>
              </w:rPr>
              <w:t>Warnings generated.  Files still being received (from AOML)</w:t>
            </w:r>
            <w:r w:rsidR="00347EB4">
              <w:rPr>
                <w:rFonts w:ascii="Calibri" w:eastAsia="Times New Roman" w:hAnsi="Calibri" w:cs="Calibri"/>
                <w:color w:val="000000"/>
              </w:rPr>
              <w:t>.  MEDS stopped using CONFIG MISSION NUMBER of 0</w:t>
            </w:r>
          </w:p>
          <w:p w:rsidR="00C40875" w:rsidRPr="00FA2DA5" w:rsidRDefault="008E1DDC">
            <w:r>
              <w:t xml:space="preserve">Study if useful information stored in META_CONFIG </w:t>
            </w:r>
          </w:p>
        </w:tc>
      </w:tr>
      <w:tr w:rsidR="00FA2DA5" w:rsidRPr="00FA2DA5" w:rsidTr="00A42C5E">
        <w:tc>
          <w:tcPr>
            <w:tcW w:w="440" w:type="dxa"/>
          </w:tcPr>
          <w:p w:rsidR="00C40875" w:rsidRPr="00FA2DA5" w:rsidRDefault="00C40875">
            <w:r w:rsidRPr="00FA2DA5">
              <w:t>2</w:t>
            </w:r>
            <w:r w:rsidR="00BB2A80">
              <w:t>2</w:t>
            </w:r>
          </w:p>
        </w:tc>
        <w:tc>
          <w:tcPr>
            <w:tcW w:w="2565" w:type="dxa"/>
          </w:tcPr>
          <w:p w:rsidR="00C40875" w:rsidRPr="00FA2DA5" w:rsidRDefault="00C40875" w:rsidP="00C40875">
            <w:r w:rsidRPr="00FA2DA5">
              <w:t xml:space="preserve">Recheck all files on GDACs with a priority on </w:t>
            </w:r>
            <w:proofErr w:type="spellStart"/>
            <w:r w:rsidRPr="00FA2DA5">
              <w:t>Dmode</w:t>
            </w:r>
            <w:proofErr w:type="spellEnd"/>
            <w:r w:rsidRPr="00FA2DA5">
              <w:t xml:space="preserve"> files.  To be performed early 2018 so that anomalies can be fixed by ADMT</w:t>
            </w:r>
          </w:p>
        </w:tc>
        <w:tc>
          <w:tcPr>
            <w:tcW w:w="997" w:type="dxa"/>
          </w:tcPr>
          <w:p w:rsidR="00C40875" w:rsidRPr="00FA2DA5" w:rsidRDefault="00C40875">
            <w:r w:rsidRPr="00FA2DA5">
              <w:t>ADMT19</w:t>
            </w:r>
          </w:p>
        </w:tc>
        <w:tc>
          <w:tcPr>
            <w:tcW w:w="1456" w:type="dxa"/>
          </w:tcPr>
          <w:p w:rsidR="00C40875" w:rsidRPr="00FA2DA5" w:rsidRDefault="00C40875">
            <w:r w:rsidRPr="00FA2DA5">
              <w:t xml:space="preserve">M. </w:t>
            </w:r>
            <w:proofErr w:type="spellStart"/>
            <w:r w:rsidRPr="00FA2DA5">
              <w:t>Ignaszewski</w:t>
            </w:r>
            <w:proofErr w:type="spellEnd"/>
            <w:r w:rsidRPr="00FA2DA5">
              <w:t>, DACs</w:t>
            </w:r>
          </w:p>
        </w:tc>
        <w:tc>
          <w:tcPr>
            <w:tcW w:w="874" w:type="dxa"/>
          </w:tcPr>
          <w:p w:rsidR="00C40875" w:rsidRPr="00FA2DA5" w:rsidRDefault="00C40875">
            <w:r w:rsidRPr="00FA2DA5">
              <w:t>R</w:t>
            </w:r>
          </w:p>
        </w:tc>
        <w:tc>
          <w:tcPr>
            <w:tcW w:w="5980" w:type="dxa"/>
          </w:tcPr>
          <w:p w:rsidR="00156FD8" w:rsidRPr="00156FD8" w:rsidRDefault="00156FD8" w:rsidP="00156FD8">
            <w:pPr>
              <w:rPr>
                <w:rFonts w:ascii="Calibri" w:eastAsia="Times New Roman" w:hAnsi="Calibri" w:cs="Calibri"/>
                <w:color w:val="000000"/>
              </w:rPr>
            </w:pPr>
            <w:r w:rsidRPr="00156FD8">
              <w:rPr>
                <w:rFonts w:ascii="Calibri" w:eastAsia="Times New Roman" w:hAnsi="Calibri" w:cs="Calibri"/>
                <w:color w:val="000000"/>
              </w:rPr>
              <w:t>Not done</w:t>
            </w:r>
            <w:r w:rsidR="005F5275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C40875" w:rsidRPr="00FA2DA5" w:rsidRDefault="00C40875"/>
        </w:tc>
      </w:tr>
      <w:tr w:rsidR="00C40875" w:rsidRPr="00FA2DA5" w:rsidTr="00A42C5E">
        <w:tc>
          <w:tcPr>
            <w:tcW w:w="440" w:type="dxa"/>
          </w:tcPr>
          <w:p w:rsidR="00C40875" w:rsidRPr="00FA2DA5" w:rsidRDefault="00C40875">
            <w:r w:rsidRPr="00FA2DA5">
              <w:t>2</w:t>
            </w:r>
            <w:r w:rsidR="00BB2A80">
              <w:t>3</w:t>
            </w:r>
          </w:p>
        </w:tc>
        <w:tc>
          <w:tcPr>
            <w:tcW w:w="2565" w:type="dxa"/>
          </w:tcPr>
          <w:p w:rsidR="00C40875" w:rsidRPr="00FA2DA5" w:rsidRDefault="00C40875" w:rsidP="00C40875">
            <w:r w:rsidRPr="00FA2DA5">
              <w:t>Put links to Google Ref tables on the ADMT documentation page</w:t>
            </w:r>
          </w:p>
        </w:tc>
        <w:tc>
          <w:tcPr>
            <w:tcW w:w="997" w:type="dxa"/>
          </w:tcPr>
          <w:p w:rsidR="00C40875" w:rsidRPr="00FA2DA5" w:rsidRDefault="00EF1687">
            <w:r w:rsidRPr="00FA2DA5">
              <w:t>AST19</w:t>
            </w:r>
          </w:p>
        </w:tc>
        <w:tc>
          <w:tcPr>
            <w:tcW w:w="1456" w:type="dxa"/>
          </w:tcPr>
          <w:p w:rsidR="00C40875" w:rsidRPr="00FA2DA5" w:rsidRDefault="00EF1687">
            <w:r w:rsidRPr="00FA2DA5">
              <w:t xml:space="preserve">T. </w:t>
            </w:r>
            <w:proofErr w:type="spellStart"/>
            <w:r w:rsidRPr="00FA2DA5">
              <w:t>Carval</w:t>
            </w:r>
            <w:proofErr w:type="spellEnd"/>
          </w:p>
        </w:tc>
        <w:tc>
          <w:tcPr>
            <w:tcW w:w="874" w:type="dxa"/>
          </w:tcPr>
          <w:p w:rsidR="00C40875" w:rsidRPr="00FA2DA5" w:rsidRDefault="00EF1687">
            <w:r w:rsidRPr="00FA2DA5">
              <w:t>R</w:t>
            </w:r>
          </w:p>
        </w:tc>
        <w:tc>
          <w:tcPr>
            <w:tcW w:w="5980" w:type="dxa"/>
          </w:tcPr>
          <w:p w:rsidR="00C40875" w:rsidRPr="00FA2DA5" w:rsidRDefault="000372DB">
            <w:r>
              <w:t>Done</w:t>
            </w:r>
          </w:p>
        </w:tc>
      </w:tr>
      <w:tr w:rsidR="009E74BD" w:rsidRPr="00FA2DA5" w:rsidTr="00A42C5E">
        <w:tc>
          <w:tcPr>
            <w:tcW w:w="440" w:type="dxa"/>
          </w:tcPr>
          <w:p w:rsidR="009E74BD" w:rsidRPr="00FA2DA5" w:rsidRDefault="009E74BD">
            <w:r w:rsidRPr="00FA2DA5">
              <w:t>2</w:t>
            </w:r>
            <w:r>
              <w:t>4</w:t>
            </w:r>
          </w:p>
        </w:tc>
        <w:tc>
          <w:tcPr>
            <w:tcW w:w="2565" w:type="dxa"/>
          </w:tcPr>
          <w:p w:rsidR="009E74BD" w:rsidRPr="00FA2DA5" w:rsidRDefault="009E74BD" w:rsidP="00C40875">
            <w:r w:rsidRPr="00FA2DA5">
              <w:t xml:space="preserve">Mathieu to work with GDACs to develop API for Argo ref </w:t>
            </w:r>
            <w:proofErr w:type="gramStart"/>
            <w:r w:rsidRPr="00FA2DA5">
              <w:t>tables .</w:t>
            </w:r>
            <w:proofErr w:type="gramEnd"/>
            <w:r w:rsidRPr="00FA2DA5">
              <w:t xml:space="preserve"> End of February</w:t>
            </w:r>
          </w:p>
        </w:tc>
        <w:tc>
          <w:tcPr>
            <w:tcW w:w="997" w:type="dxa"/>
          </w:tcPr>
          <w:p w:rsidR="009E74BD" w:rsidRPr="00FA2DA5" w:rsidRDefault="009E74BD">
            <w:r w:rsidRPr="00FA2DA5">
              <w:t>AST19</w:t>
            </w:r>
          </w:p>
        </w:tc>
        <w:tc>
          <w:tcPr>
            <w:tcW w:w="1456" w:type="dxa"/>
          </w:tcPr>
          <w:p w:rsidR="009E74BD" w:rsidRPr="00FA2DA5" w:rsidRDefault="009E74BD">
            <w:r w:rsidRPr="00FA2DA5">
              <w:t xml:space="preserve">M. </w:t>
            </w:r>
            <w:proofErr w:type="spellStart"/>
            <w:r>
              <w:t>Belbéoch</w:t>
            </w:r>
            <w:proofErr w:type="spellEnd"/>
            <w:r w:rsidRPr="00FA2DA5">
              <w:t>, GDACs</w:t>
            </w:r>
          </w:p>
        </w:tc>
        <w:tc>
          <w:tcPr>
            <w:tcW w:w="874" w:type="dxa"/>
          </w:tcPr>
          <w:p w:rsidR="009E74BD" w:rsidRPr="00FA2DA5" w:rsidRDefault="009E74BD">
            <w:r w:rsidRPr="00FA2DA5">
              <w:t>R</w:t>
            </w:r>
          </w:p>
        </w:tc>
        <w:tc>
          <w:tcPr>
            <w:tcW w:w="5980" w:type="dxa"/>
          </w:tcPr>
          <w:p w:rsidR="009E74BD" w:rsidRPr="009E74BD" w:rsidRDefault="009E74BD" w:rsidP="002B3F3C">
            <w:r w:rsidRPr="009E74BD">
              <w:t xml:space="preserve">In JCOMMOPS </w:t>
            </w:r>
            <w:proofErr w:type="spellStart"/>
            <w:r w:rsidRPr="009E74BD">
              <w:t>workplan</w:t>
            </w:r>
            <w:proofErr w:type="spellEnd"/>
            <w:r w:rsidRPr="009E74BD">
              <w:t xml:space="preserve"> for achievement mid 2019.</w:t>
            </w:r>
          </w:p>
          <w:p w:rsidR="009E74BD" w:rsidRPr="009E74BD" w:rsidRDefault="009E74BD" w:rsidP="002B3F3C">
            <w:r w:rsidRPr="009E74BD">
              <w:t>Meeting JCOMMOPS/BODC to be set up around June 2019.</w:t>
            </w:r>
          </w:p>
          <w:p w:rsidR="009E74BD" w:rsidRPr="009E74BD" w:rsidRDefault="009E74BD" w:rsidP="002B3F3C">
            <w:r w:rsidRPr="009E74BD">
              <w:t>Issue being addressed for all platforms at JCOMMOPS, beyond Argo.</w:t>
            </w:r>
          </w:p>
        </w:tc>
      </w:tr>
      <w:tr w:rsidR="009E74BD" w:rsidRPr="00FA2DA5" w:rsidTr="00A42C5E">
        <w:tc>
          <w:tcPr>
            <w:tcW w:w="440" w:type="dxa"/>
          </w:tcPr>
          <w:p w:rsidR="009E74BD" w:rsidRPr="00FA2DA5" w:rsidRDefault="009E74BD">
            <w:r w:rsidRPr="00FA2DA5">
              <w:t>2</w:t>
            </w:r>
            <w:r>
              <w:t>5</w:t>
            </w:r>
          </w:p>
        </w:tc>
        <w:tc>
          <w:tcPr>
            <w:tcW w:w="2565" w:type="dxa"/>
          </w:tcPr>
          <w:p w:rsidR="009E74BD" w:rsidRPr="00FA2DA5" w:rsidRDefault="009E74BD" w:rsidP="00C40875">
            <w:r w:rsidRPr="00FA2DA5">
              <w:t xml:space="preserve">Mathieu to look into NERC vocabulary and see how much work we need to do to use such vocabulary for ref table.  </w:t>
            </w:r>
          </w:p>
        </w:tc>
        <w:tc>
          <w:tcPr>
            <w:tcW w:w="997" w:type="dxa"/>
          </w:tcPr>
          <w:p w:rsidR="009E74BD" w:rsidRPr="00FA2DA5" w:rsidRDefault="009E74BD">
            <w:r w:rsidRPr="00FA2DA5">
              <w:t>ADMT19</w:t>
            </w:r>
          </w:p>
        </w:tc>
        <w:tc>
          <w:tcPr>
            <w:tcW w:w="1456" w:type="dxa"/>
          </w:tcPr>
          <w:p w:rsidR="009E74BD" w:rsidRPr="00FA2DA5" w:rsidRDefault="009E74BD">
            <w:r w:rsidRPr="00FA2DA5">
              <w:t xml:space="preserve">M. </w:t>
            </w:r>
            <w:proofErr w:type="spellStart"/>
            <w:r>
              <w:t>Belbéoch</w:t>
            </w:r>
            <w:proofErr w:type="spellEnd"/>
          </w:p>
        </w:tc>
        <w:tc>
          <w:tcPr>
            <w:tcW w:w="874" w:type="dxa"/>
          </w:tcPr>
          <w:p w:rsidR="009E74BD" w:rsidRPr="00FA2DA5" w:rsidRDefault="009E74BD">
            <w:r w:rsidRPr="00FA2DA5">
              <w:t>R</w:t>
            </w:r>
          </w:p>
        </w:tc>
        <w:tc>
          <w:tcPr>
            <w:tcW w:w="5980" w:type="dxa"/>
          </w:tcPr>
          <w:p w:rsidR="009E74BD" w:rsidRPr="009E74BD" w:rsidRDefault="009E74BD" w:rsidP="002B3F3C">
            <w:r w:rsidRPr="009E74BD">
              <w:t>See above.</w:t>
            </w:r>
          </w:p>
        </w:tc>
      </w:tr>
      <w:tr w:rsidR="00EF1687" w:rsidRPr="00FA2DA5" w:rsidTr="00A42C5E">
        <w:tc>
          <w:tcPr>
            <w:tcW w:w="440" w:type="dxa"/>
          </w:tcPr>
          <w:p w:rsidR="00EF1687" w:rsidRPr="00FA2DA5" w:rsidRDefault="00EF1687">
            <w:r w:rsidRPr="00FA2DA5">
              <w:t>2</w:t>
            </w:r>
            <w:r w:rsidR="00BB2A80">
              <w:t>6</w:t>
            </w:r>
          </w:p>
        </w:tc>
        <w:tc>
          <w:tcPr>
            <w:tcW w:w="2565" w:type="dxa"/>
          </w:tcPr>
          <w:p w:rsidR="00EF1687" w:rsidRPr="00FA2DA5" w:rsidRDefault="00361F42" w:rsidP="00C40875">
            <w:r w:rsidRPr="00FA2DA5">
              <w:t>M-</w:t>
            </w:r>
            <w:proofErr w:type="gramStart"/>
            <w:r w:rsidRPr="00FA2DA5">
              <w:t>Fi</w:t>
            </w:r>
            <w:r w:rsidR="001D6A2C" w:rsidRPr="00FA2DA5">
              <w:t>le :</w:t>
            </w:r>
            <w:proofErr w:type="gramEnd"/>
            <w:r w:rsidR="001D6A2C" w:rsidRPr="00FA2DA5">
              <w:t xml:space="preserve"> French GDAC to move them to</w:t>
            </w:r>
            <w:r w:rsidRPr="00FA2DA5">
              <w:t xml:space="preserve"> NetCDF4  and USGDAC to get them by mirroring the French GDAC . Interim solution until a  new M-File format is specified by the group set up at BGC-Argo meeting</w:t>
            </w:r>
          </w:p>
        </w:tc>
        <w:tc>
          <w:tcPr>
            <w:tcW w:w="997" w:type="dxa"/>
          </w:tcPr>
          <w:p w:rsidR="00EF1687" w:rsidRPr="00FA2DA5" w:rsidRDefault="001D6A2C">
            <w:r w:rsidRPr="00FA2DA5">
              <w:t>ADMT19</w:t>
            </w:r>
          </w:p>
        </w:tc>
        <w:tc>
          <w:tcPr>
            <w:tcW w:w="1456" w:type="dxa"/>
          </w:tcPr>
          <w:p w:rsidR="00EF1687" w:rsidRPr="00FA2DA5" w:rsidRDefault="001D6A2C">
            <w:r w:rsidRPr="00FA2DA5">
              <w:t>GDACs</w:t>
            </w:r>
          </w:p>
        </w:tc>
        <w:tc>
          <w:tcPr>
            <w:tcW w:w="874" w:type="dxa"/>
          </w:tcPr>
          <w:p w:rsidR="00EF1687" w:rsidRPr="00FA2DA5" w:rsidRDefault="001D6A2C">
            <w:r w:rsidRPr="00FA2DA5">
              <w:t>R</w:t>
            </w:r>
          </w:p>
        </w:tc>
        <w:tc>
          <w:tcPr>
            <w:tcW w:w="5980" w:type="dxa"/>
          </w:tcPr>
          <w:p w:rsidR="001F554D" w:rsidRPr="001F554D" w:rsidRDefault="001F554D" w:rsidP="001F554D">
            <w:r w:rsidRPr="001F554D">
              <w:t>Part (1) of Action Item 26:</w:t>
            </w:r>
          </w:p>
          <w:p w:rsidR="001F554D" w:rsidRPr="001F554D" w:rsidRDefault="001F554D" w:rsidP="001F554D">
            <w:r w:rsidRPr="001F554D">
              <w:t>M-File:  French GDAC to move them to NetCDF4</w:t>
            </w:r>
            <w:proofErr w:type="gramStart"/>
            <w:r w:rsidRPr="001F554D">
              <w:t>;  US</w:t>
            </w:r>
            <w:proofErr w:type="gramEnd"/>
            <w:r w:rsidRPr="001F554D">
              <w:t xml:space="preserve"> GDAC to get them by mirroring the French GDAC.</w:t>
            </w:r>
          </w:p>
          <w:p w:rsidR="001F554D" w:rsidRPr="001F554D" w:rsidRDefault="001F554D" w:rsidP="001F554D"/>
          <w:p w:rsidR="001F554D" w:rsidRPr="001F554D" w:rsidRDefault="001F554D" w:rsidP="001F554D">
            <w:r w:rsidRPr="001F554D">
              <w:t xml:space="preserve">-&gt; The results of Part (1) are the merge </w:t>
            </w:r>
            <w:proofErr w:type="gramStart"/>
            <w:r w:rsidRPr="001F554D">
              <w:t>files  M</w:t>
            </w:r>
            <w:proofErr w:type="gramEnd"/>
            <w:r w:rsidRPr="001F554D">
              <w:t>"R/</w:t>
            </w:r>
            <w:proofErr w:type="spellStart"/>
            <w:r w:rsidRPr="001F554D">
              <w:t>D"wmoID_cycle.nc</w:t>
            </w:r>
            <w:proofErr w:type="spellEnd"/>
            <w:r w:rsidRPr="001F554D">
              <w:t xml:space="preserve"> (single-cycle) and wmoID_Mprof.nc (multi-cycle).</w:t>
            </w:r>
          </w:p>
          <w:p w:rsidR="001F554D" w:rsidRDefault="001F554D"/>
          <w:p w:rsidR="001F554D" w:rsidRPr="001F554D" w:rsidRDefault="001F554D" w:rsidP="001F554D">
            <w:r w:rsidRPr="001F554D">
              <w:t>Part (2) of Action Item 26:</w:t>
            </w:r>
          </w:p>
          <w:p w:rsidR="001F554D" w:rsidRPr="001F554D" w:rsidRDefault="001F554D" w:rsidP="001F554D">
            <w:r w:rsidRPr="001F554D">
              <w:t>Treat Part (1) as the interim solution until a new M-File format is specified by the group set up at the BGC-Argo meeting.</w:t>
            </w:r>
          </w:p>
          <w:p w:rsidR="001F554D" w:rsidRPr="001F554D" w:rsidRDefault="001F554D" w:rsidP="001F554D"/>
          <w:p w:rsidR="001F554D" w:rsidRDefault="001F554D">
            <w:r w:rsidRPr="001F554D">
              <w:t>-&gt; The results of Part (2) are the synthetic files S"R/</w:t>
            </w:r>
            <w:proofErr w:type="spellStart"/>
            <w:r w:rsidRPr="001F554D">
              <w:t>D"wmoID_cycle.nc</w:t>
            </w:r>
            <w:proofErr w:type="spellEnd"/>
            <w:r w:rsidRPr="001F554D">
              <w:t xml:space="preserve"> (single-cycle) and wmoID_Sprof.nc (multi-cycle).</w:t>
            </w:r>
          </w:p>
          <w:p w:rsidR="001F554D" w:rsidRDefault="001F554D"/>
          <w:p w:rsidR="00EF1687" w:rsidRDefault="00CD2D0B">
            <w:r>
              <w:t xml:space="preserve">Manual explains how synthetic merged files made and distributed at Coriolis:  </w:t>
            </w:r>
            <w:hyperlink r:id="rId7" w:history="1">
              <w:r w:rsidRPr="008158D8">
                <w:rPr>
                  <w:rStyle w:val="Hyperlink"/>
                </w:rPr>
                <w:t>https://doi.org/10.13155/55638</w:t>
              </w:r>
            </w:hyperlink>
          </w:p>
          <w:p w:rsidR="00CD2D0B" w:rsidRDefault="00CD2D0B"/>
          <w:p w:rsidR="00CD2D0B" w:rsidRDefault="00CD2D0B" w:rsidP="00CD2D0B">
            <w:pPr>
              <w:pStyle w:val="NoSpacing"/>
              <w:rPr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en-GB"/>
              </w:rPr>
              <w:t>Examples</w:t>
            </w:r>
          </w:p>
          <w:p w:rsidR="00CD2D0B" w:rsidRDefault="00CD2D0B" w:rsidP="00CD2D0B">
            <w:pPr>
              <w:pStyle w:val="NoSpacing"/>
              <w:rPr>
                <w:color w:val="000000"/>
                <w:lang w:val="fr-FR"/>
              </w:rPr>
            </w:pPr>
            <w:r>
              <w:rPr>
                <w:color w:val="000000"/>
                <w:lang w:val="en-GB"/>
              </w:rPr>
              <w:t xml:space="preserve">The </w:t>
            </w:r>
            <w:r w:rsidR="001F554D">
              <w:rPr>
                <w:color w:val="000000"/>
                <w:lang w:val="en-GB"/>
              </w:rPr>
              <w:t>merged</w:t>
            </w:r>
            <w:r>
              <w:rPr>
                <w:color w:val="000000"/>
                <w:lang w:val="en-GB"/>
              </w:rPr>
              <w:t xml:space="preserve"> profile of float 6901585 cycle 1 with its Core and BGC parameters</w:t>
            </w:r>
          </w:p>
          <w:p w:rsidR="00CD2D0B" w:rsidRDefault="00CD2D0B" w:rsidP="00CD2D0B">
            <w:pPr>
              <w:pStyle w:val="NoSpacing"/>
              <w:ind w:left="720" w:hanging="360"/>
              <w:rPr>
                <w:color w:val="000000"/>
                <w:lang w:val="fr-FR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hyperlink r:id="rId8" w:history="1">
              <w:r w:rsidR="001F554D"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R6901585_001.nc</w:t>
              </w:r>
            </w:hyperlink>
            <w:r>
              <w:rPr>
                <w:color w:val="000000"/>
              </w:rPr>
              <w:t xml:space="preserve"> </w:t>
            </w:r>
          </w:p>
          <w:p w:rsidR="00CD2D0B" w:rsidRDefault="001F554D" w:rsidP="00CD2D0B">
            <w:pPr>
              <w:pStyle w:val="NoSpacing"/>
              <w:rPr>
                <w:color w:val="000000"/>
                <w:lang w:val="fr-FR"/>
              </w:rPr>
            </w:pPr>
            <w:r>
              <w:rPr>
                <w:color w:val="000000"/>
              </w:rPr>
              <w:t>The merged</w:t>
            </w:r>
            <w:r w:rsidR="00CD2D0B">
              <w:rPr>
                <w:color w:val="000000"/>
              </w:rPr>
              <w:t xml:space="preserve"> profiles of float </w:t>
            </w:r>
            <w:r w:rsidR="00CD2D0B">
              <w:rPr>
                <w:color w:val="000000"/>
                <w:lang w:val="en-GB"/>
              </w:rPr>
              <w:t xml:space="preserve">6901585 </w:t>
            </w:r>
            <w:r w:rsidR="00CD2D0B">
              <w:rPr>
                <w:color w:val="000000"/>
              </w:rPr>
              <w:t>aggregated in one NetCDF4 file</w:t>
            </w:r>
          </w:p>
          <w:p w:rsidR="00CD2D0B" w:rsidRDefault="00CD2D0B" w:rsidP="00CD2D0B">
            <w:pPr>
              <w:pStyle w:val="NoSpacing"/>
              <w:ind w:left="720" w:hanging="360"/>
              <w:rPr>
                <w:rStyle w:val="Hyperlink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hyperlink r:id="rId9" w:history="1">
              <w:r>
                <w:rPr>
                  <w:rStyle w:val="Hyperlink"/>
                </w:rPr>
                <w:t>6901585_Mprof.nc</w:t>
              </w:r>
            </w:hyperlink>
          </w:p>
          <w:p w:rsidR="001F554D" w:rsidRDefault="001F554D" w:rsidP="001F554D">
            <w:pPr>
              <w:pStyle w:val="NoSpacing"/>
              <w:rPr>
                <w:color w:val="000000"/>
                <w:lang w:val="fr-FR"/>
              </w:rPr>
            </w:pPr>
            <w:r>
              <w:rPr>
                <w:color w:val="000000"/>
                <w:lang w:val="en-GB"/>
              </w:rPr>
              <w:t>The synthetic profile of float 6901585 cycle 1 with its Core and BGC parameters</w:t>
            </w:r>
          </w:p>
          <w:p w:rsidR="001F554D" w:rsidRDefault="001F554D" w:rsidP="001F554D">
            <w:pPr>
              <w:pStyle w:val="NoSpacing"/>
              <w:ind w:left="720" w:hanging="360"/>
              <w:rPr>
                <w:color w:val="000000"/>
                <w:lang w:val="fr-FR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hyperlink r:id="rId10" w:history="1">
              <w:r>
                <w:rPr>
                  <w:rStyle w:val="Hyperlink"/>
                </w:rPr>
                <w:t>SR6901585_001.nc</w:t>
              </w:r>
            </w:hyperlink>
            <w:r>
              <w:rPr>
                <w:color w:val="000000"/>
              </w:rPr>
              <w:t xml:space="preserve"> </w:t>
            </w:r>
          </w:p>
          <w:p w:rsidR="001F554D" w:rsidRDefault="001F554D" w:rsidP="001F554D">
            <w:pPr>
              <w:pStyle w:val="NoSpacing"/>
              <w:rPr>
                <w:color w:val="000000"/>
                <w:lang w:val="fr-FR"/>
              </w:rPr>
            </w:pPr>
            <w:r>
              <w:rPr>
                <w:color w:val="000000"/>
              </w:rPr>
              <w:t xml:space="preserve">The synthetic profiles of float </w:t>
            </w:r>
            <w:r>
              <w:rPr>
                <w:color w:val="000000"/>
                <w:lang w:val="en-GB"/>
              </w:rPr>
              <w:t xml:space="preserve">6901585 </w:t>
            </w:r>
            <w:r>
              <w:rPr>
                <w:color w:val="000000"/>
              </w:rPr>
              <w:t>aggregated in one NetCDF4 file</w:t>
            </w:r>
          </w:p>
          <w:p w:rsidR="001F554D" w:rsidRDefault="001F554D" w:rsidP="001F554D">
            <w:pPr>
              <w:pStyle w:val="NoSpacing"/>
              <w:ind w:left="720" w:hanging="360"/>
              <w:rPr>
                <w:color w:val="000000"/>
                <w:lang w:val="fr-FR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hyperlink r:id="rId11" w:history="1">
              <w:r>
                <w:rPr>
                  <w:rStyle w:val="Hyperlink"/>
                </w:rPr>
                <w:t>6901585_Sprof.nc</w:t>
              </w:r>
            </w:hyperlink>
          </w:p>
          <w:p w:rsidR="001F554D" w:rsidRDefault="001F554D" w:rsidP="00CD2D0B">
            <w:pPr>
              <w:pStyle w:val="NoSpacing"/>
              <w:ind w:left="720" w:hanging="360"/>
              <w:rPr>
                <w:color w:val="000000"/>
                <w:lang w:val="fr-FR"/>
              </w:rPr>
            </w:pPr>
          </w:p>
          <w:p w:rsidR="00CD2D0B" w:rsidRPr="00FA2DA5" w:rsidRDefault="00CD2D0B"/>
        </w:tc>
      </w:tr>
      <w:tr w:rsidR="001D6A2C" w:rsidRPr="00FA2DA5" w:rsidTr="00A42C5E">
        <w:tc>
          <w:tcPr>
            <w:tcW w:w="440" w:type="dxa"/>
          </w:tcPr>
          <w:p w:rsidR="001D6A2C" w:rsidRPr="00FA2DA5" w:rsidRDefault="001D6A2C">
            <w:r w:rsidRPr="00FA2DA5">
              <w:t>2</w:t>
            </w:r>
            <w:r w:rsidR="00BB2A80">
              <w:t>7</w:t>
            </w:r>
          </w:p>
        </w:tc>
        <w:tc>
          <w:tcPr>
            <w:tcW w:w="2565" w:type="dxa"/>
          </w:tcPr>
          <w:p w:rsidR="001D6A2C" w:rsidRPr="00FA2DA5" w:rsidRDefault="001D6A2C" w:rsidP="00C40875">
            <w:r w:rsidRPr="00FA2DA5">
              <w:t>Christine and John to send DACs the list of active floats that are still in version 3.0 or lower and DACs to reprocess them in V3.1</w:t>
            </w:r>
          </w:p>
        </w:tc>
        <w:tc>
          <w:tcPr>
            <w:tcW w:w="997" w:type="dxa"/>
          </w:tcPr>
          <w:p w:rsidR="001D6A2C" w:rsidRPr="00FA2DA5" w:rsidRDefault="001D6A2C">
            <w:r w:rsidRPr="00FA2DA5">
              <w:t>ADMT19</w:t>
            </w:r>
          </w:p>
        </w:tc>
        <w:tc>
          <w:tcPr>
            <w:tcW w:w="1456" w:type="dxa"/>
          </w:tcPr>
          <w:p w:rsidR="001D6A2C" w:rsidRPr="00FA2DA5" w:rsidRDefault="001D6A2C">
            <w:r w:rsidRPr="00FA2DA5">
              <w:t>Christine, J. Gilson, DACs</w:t>
            </w:r>
          </w:p>
        </w:tc>
        <w:tc>
          <w:tcPr>
            <w:tcW w:w="874" w:type="dxa"/>
          </w:tcPr>
          <w:p w:rsidR="001D6A2C" w:rsidRPr="00FA2DA5" w:rsidRDefault="001D6A2C">
            <w:r w:rsidRPr="00FA2DA5">
              <w:t>R</w:t>
            </w:r>
          </w:p>
        </w:tc>
        <w:tc>
          <w:tcPr>
            <w:tcW w:w="5980" w:type="dxa"/>
          </w:tcPr>
          <w:p w:rsidR="001D6A2C" w:rsidRPr="00FA2DA5" w:rsidRDefault="00C96494">
            <w:r>
              <w:t xml:space="preserve">Lists sent to DACs in Jan 2018.  Some DACs asked for an updated list part way through the year.  </w:t>
            </w:r>
            <w:proofErr w:type="gramStart"/>
            <w:r>
              <w:t>A new lists</w:t>
            </w:r>
            <w:proofErr w:type="gramEnd"/>
            <w:r>
              <w:t xml:space="preserve"> will be prepared for each DAC in time for the ADMT19 meeting.</w:t>
            </w:r>
          </w:p>
        </w:tc>
      </w:tr>
      <w:tr w:rsidR="001D6A2C" w:rsidRPr="00FA2DA5" w:rsidTr="00A42C5E">
        <w:tc>
          <w:tcPr>
            <w:tcW w:w="440" w:type="dxa"/>
          </w:tcPr>
          <w:p w:rsidR="001D6A2C" w:rsidRPr="00FA2DA5" w:rsidRDefault="001D6A2C">
            <w:r w:rsidRPr="00FA2DA5">
              <w:t>2</w:t>
            </w:r>
            <w:r w:rsidR="00BB2A80">
              <w:t>8</w:t>
            </w:r>
          </w:p>
        </w:tc>
        <w:tc>
          <w:tcPr>
            <w:tcW w:w="2565" w:type="dxa"/>
          </w:tcPr>
          <w:p w:rsidR="001D6A2C" w:rsidRPr="00FA2DA5" w:rsidRDefault="001D6A2C" w:rsidP="00C40875">
            <w:proofErr w:type="spellStart"/>
            <w:r w:rsidRPr="00FA2DA5">
              <w:t>Filechecker</w:t>
            </w:r>
            <w:proofErr w:type="spellEnd"/>
            <w:r w:rsidRPr="00FA2DA5">
              <w:t xml:space="preserve"> to stop accepting files D-Files in version 3.0 or lower 1</w:t>
            </w:r>
            <w:r w:rsidRPr="00FA2DA5">
              <w:rPr>
                <w:vertAlign w:val="superscript"/>
              </w:rPr>
              <w:t>st</w:t>
            </w:r>
            <w:r w:rsidRPr="00FA2DA5">
              <w:t xml:space="preserve"> </w:t>
            </w:r>
            <w:proofErr w:type="gramStart"/>
            <w:r w:rsidRPr="00FA2DA5">
              <w:t>July  2018</w:t>
            </w:r>
            <w:proofErr w:type="gramEnd"/>
            <w:r w:rsidRPr="00FA2DA5">
              <w:t xml:space="preserve">.  If </w:t>
            </w:r>
            <w:proofErr w:type="spellStart"/>
            <w:r w:rsidRPr="00FA2DA5">
              <w:t>dmode</w:t>
            </w:r>
            <w:proofErr w:type="spellEnd"/>
            <w:r w:rsidRPr="00FA2DA5">
              <w:t xml:space="preserve"> operators are having trouble with this, alert ADMT co-chairs.  Alert </w:t>
            </w:r>
            <w:proofErr w:type="spellStart"/>
            <w:r w:rsidRPr="00FA2DA5">
              <w:t>dmode</w:t>
            </w:r>
            <w:proofErr w:type="spellEnd"/>
            <w:r w:rsidRPr="00FA2DA5">
              <w:t xml:space="preserve"> operators of this change.  </w:t>
            </w:r>
          </w:p>
        </w:tc>
        <w:tc>
          <w:tcPr>
            <w:tcW w:w="997" w:type="dxa"/>
          </w:tcPr>
          <w:p w:rsidR="001D6A2C" w:rsidRPr="00FA2DA5" w:rsidRDefault="001D6A2C">
            <w:r w:rsidRPr="00FA2DA5">
              <w:t>July 2018</w:t>
            </w:r>
          </w:p>
        </w:tc>
        <w:tc>
          <w:tcPr>
            <w:tcW w:w="1456" w:type="dxa"/>
          </w:tcPr>
          <w:p w:rsidR="001D6A2C" w:rsidRPr="00FA2DA5" w:rsidRDefault="001D6A2C">
            <w:r w:rsidRPr="00FA2DA5">
              <w:t xml:space="preserve">M. </w:t>
            </w:r>
            <w:proofErr w:type="spellStart"/>
            <w:r w:rsidRPr="00FA2DA5">
              <w:t>Ignaszewski</w:t>
            </w:r>
            <w:proofErr w:type="spellEnd"/>
            <w:r w:rsidRPr="00FA2DA5">
              <w:t>,</w:t>
            </w:r>
          </w:p>
          <w:p w:rsidR="001D6A2C" w:rsidRPr="00FA2DA5" w:rsidRDefault="001D6A2C">
            <w:proofErr w:type="spellStart"/>
            <w:r w:rsidRPr="00FA2DA5">
              <w:t>Dmode</w:t>
            </w:r>
            <w:proofErr w:type="spellEnd"/>
            <w:r w:rsidRPr="00FA2DA5">
              <w:t xml:space="preserve"> operators</w:t>
            </w:r>
          </w:p>
        </w:tc>
        <w:tc>
          <w:tcPr>
            <w:tcW w:w="874" w:type="dxa"/>
          </w:tcPr>
          <w:p w:rsidR="001D6A2C" w:rsidRPr="00FA2DA5" w:rsidRDefault="001D6A2C">
            <w:r w:rsidRPr="00FA2DA5">
              <w:t>R</w:t>
            </w:r>
          </w:p>
        </w:tc>
        <w:tc>
          <w:tcPr>
            <w:tcW w:w="5980" w:type="dxa"/>
          </w:tcPr>
          <w:p w:rsidR="00894AB0" w:rsidRPr="00894AB0" w:rsidRDefault="000C78BF" w:rsidP="00894A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done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  (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Mark</w:t>
            </w:r>
            <w:r w:rsidR="00894AB0" w:rsidRPr="00894AB0">
              <w:rPr>
                <w:rFonts w:ascii="Calibri" w:eastAsia="Times New Roman" w:hAnsi="Calibri" w:cs="Calibri"/>
                <w:color w:val="000000"/>
              </w:rPr>
              <w:t xml:space="preserve"> will review current deliveries to see impact.)</w:t>
            </w:r>
          </w:p>
          <w:p w:rsidR="001D6A2C" w:rsidRPr="00FA2DA5" w:rsidRDefault="001D6A2C"/>
        </w:tc>
      </w:tr>
      <w:tr w:rsidR="003B27A5" w:rsidRPr="00FA2DA5" w:rsidTr="00A42C5E">
        <w:tc>
          <w:tcPr>
            <w:tcW w:w="440" w:type="dxa"/>
          </w:tcPr>
          <w:p w:rsidR="003B27A5" w:rsidRPr="00FA2DA5" w:rsidRDefault="003B27A5">
            <w:r>
              <w:t>2</w:t>
            </w:r>
            <w:r w:rsidR="00BB2A80">
              <w:t>9</w:t>
            </w:r>
          </w:p>
        </w:tc>
        <w:tc>
          <w:tcPr>
            <w:tcW w:w="2565" w:type="dxa"/>
          </w:tcPr>
          <w:p w:rsidR="003B27A5" w:rsidRPr="00FA2DA5" w:rsidRDefault="003B27A5" w:rsidP="00C40875">
            <w:r w:rsidRPr="006E4772">
              <w:rPr>
                <w:sz w:val="20"/>
                <w:szCs w:val="20"/>
              </w:rPr>
              <w:t xml:space="preserve">Work with Manufacturer to </w:t>
            </w:r>
            <w:r w:rsidRPr="006E4772">
              <w:rPr>
                <w:bCs/>
                <w:sz w:val="20"/>
                <w:szCs w:val="20"/>
              </w:rPr>
              <w:t xml:space="preserve">get </w:t>
            </w:r>
            <w:proofErr w:type="spellStart"/>
            <w:r w:rsidRPr="006E4772">
              <w:rPr>
                <w:bCs/>
                <w:sz w:val="20"/>
                <w:szCs w:val="20"/>
              </w:rPr>
              <w:t>firmware_version</w:t>
            </w:r>
            <w:proofErr w:type="spellEnd"/>
            <w:r w:rsidRPr="006E4772">
              <w:rPr>
                <w:bCs/>
                <w:sz w:val="20"/>
                <w:szCs w:val="20"/>
              </w:rPr>
              <w:t xml:space="preserve"> in data sent back at some point in its life</w:t>
            </w:r>
          </w:p>
        </w:tc>
        <w:tc>
          <w:tcPr>
            <w:tcW w:w="997" w:type="dxa"/>
          </w:tcPr>
          <w:p w:rsidR="003B27A5" w:rsidRPr="00FA2DA5" w:rsidRDefault="003B27A5">
            <w:r>
              <w:t>ADMT19</w:t>
            </w:r>
          </w:p>
        </w:tc>
        <w:tc>
          <w:tcPr>
            <w:tcW w:w="1456" w:type="dxa"/>
          </w:tcPr>
          <w:p w:rsidR="003B27A5" w:rsidRPr="00FA2DA5" w:rsidRDefault="003B27A5">
            <w:r>
              <w:t>PIs, B. King, R. Cowley</w:t>
            </w:r>
          </w:p>
        </w:tc>
        <w:tc>
          <w:tcPr>
            <w:tcW w:w="874" w:type="dxa"/>
          </w:tcPr>
          <w:p w:rsidR="003B27A5" w:rsidRPr="00FA2DA5" w:rsidRDefault="003B27A5">
            <w:r>
              <w:t>R</w:t>
            </w:r>
          </w:p>
        </w:tc>
        <w:tc>
          <w:tcPr>
            <w:tcW w:w="5980" w:type="dxa"/>
          </w:tcPr>
          <w:p w:rsidR="003B27A5" w:rsidRPr="00FA2DA5" w:rsidRDefault="00675595">
            <w:r>
              <w:t xml:space="preserve">No progress – </w:t>
            </w:r>
            <w:proofErr w:type="spellStart"/>
            <w:r>
              <w:t>Navis</w:t>
            </w:r>
            <w:proofErr w:type="spellEnd"/>
            <w:r>
              <w:t xml:space="preserve"> and Apex seem to do this already in the test messages. </w:t>
            </w:r>
            <w:proofErr w:type="spellStart"/>
            <w:r>
              <w:t>Arvor</w:t>
            </w:r>
            <w:proofErr w:type="spellEnd"/>
            <w:r>
              <w:t xml:space="preserve"> do not send this information. Something to follow up with NKE.</w:t>
            </w:r>
          </w:p>
        </w:tc>
      </w:tr>
      <w:tr w:rsidR="001D6A2C" w:rsidRPr="00FA2DA5" w:rsidTr="00A42C5E">
        <w:tc>
          <w:tcPr>
            <w:tcW w:w="440" w:type="dxa"/>
          </w:tcPr>
          <w:p w:rsidR="001D6A2C" w:rsidRPr="00FA2DA5" w:rsidRDefault="00BB2A80">
            <w:r>
              <w:t>30</w:t>
            </w:r>
          </w:p>
        </w:tc>
        <w:tc>
          <w:tcPr>
            <w:tcW w:w="2565" w:type="dxa"/>
          </w:tcPr>
          <w:p w:rsidR="001D6A2C" w:rsidRPr="00FA2DA5" w:rsidRDefault="001D6A2C" w:rsidP="00C40875">
            <w:r w:rsidRPr="00FA2DA5">
              <w:t>Work with manufacturers to define the Battery technical information to be recorded and other trajectory cycle timing data</w:t>
            </w:r>
          </w:p>
        </w:tc>
        <w:tc>
          <w:tcPr>
            <w:tcW w:w="997" w:type="dxa"/>
          </w:tcPr>
          <w:p w:rsidR="001D6A2C" w:rsidRPr="00FA2DA5" w:rsidRDefault="001D6A2C">
            <w:r w:rsidRPr="00FA2DA5">
              <w:t>ADMT19</w:t>
            </w:r>
          </w:p>
        </w:tc>
        <w:tc>
          <w:tcPr>
            <w:tcW w:w="1456" w:type="dxa"/>
          </w:tcPr>
          <w:p w:rsidR="001D6A2C" w:rsidRPr="00FA2DA5" w:rsidRDefault="001D6A2C">
            <w:r w:rsidRPr="00FA2DA5">
              <w:t xml:space="preserve">B. King, R. Cowley, M. Scanderbeg, H. </w:t>
            </w:r>
            <w:proofErr w:type="spellStart"/>
            <w:r w:rsidRPr="00FA2DA5">
              <w:t>Bittig</w:t>
            </w:r>
            <w:proofErr w:type="spellEnd"/>
          </w:p>
        </w:tc>
        <w:tc>
          <w:tcPr>
            <w:tcW w:w="874" w:type="dxa"/>
          </w:tcPr>
          <w:p w:rsidR="001D6A2C" w:rsidRPr="00FA2DA5" w:rsidRDefault="001D6A2C">
            <w:r w:rsidRPr="00FA2DA5">
              <w:t>R</w:t>
            </w:r>
          </w:p>
        </w:tc>
        <w:tc>
          <w:tcPr>
            <w:tcW w:w="5980" w:type="dxa"/>
          </w:tcPr>
          <w:p w:rsidR="001D6A2C" w:rsidRPr="00FA2DA5" w:rsidRDefault="00675595">
            <w:r>
              <w:t xml:space="preserve">Some work done via email with Teledyne to define trajectory information for APF11 floats (included in the </w:t>
            </w:r>
            <w:proofErr w:type="spellStart"/>
            <w:r>
              <w:t>traj</w:t>
            </w:r>
            <w:proofErr w:type="spellEnd"/>
            <w:r>
              <w:t xml:space="preserve"> tables and updated </w:t>
            </w:r>
            <w:proofErr w:type="spellStart"/>
            <w:r>
              <w:t>traj</w:t>
            </w:r>
            <w:proofErr w:type="spellEnd"/>
            <w:r>
              <w:t xml:space="preserve"> </w:t>
            </w:r>
            <w:proofErr w:type="spellStart"/>
            <w:r>
              <w:t>cookbok</w:t>
            </w:r>
            <w:proofErr w:type="spellEnd"/>
            <w:r>
              <w:t xml:space="preserve">). Also, CSIRO have done some emailing to NKE to better refine </w:t>
            </w:r>
            <w:proofErr w:type="spellStart"/>
            <w:r>
              <w:t>traj</w:t>
            </w:r>
            <w:proofErr w:type="spellEnd"/>
            <w:r>
              <w:t xml:space="preserve"> information, but we haven’t reviewed the NKE table yet. </w:t>
            </w:r>
            <w:proofErr w:type="spellStart"/>
            <w:r>
              <w:t>Bec</w:t>
            </w:r>
            <w:proofErr w:type="spellEnd"/>
            <w:r>
              <w:t xml:space="preserve"> has contacted manufacturers to get the full detail on the battery types used currently and historically. This information needs to be documented</w:t>
            </w:r>
            <w:r w:rsidR="000E696C">
              <w:t xml:space="preserve"> somewhere for everyone. Battery type metadata recommendations will be presented at ADMT.</w:t>
            </w:r>
          </w:p>
        </w:tc>
      </w:tr>
      <w:tr w:rsidR="001D6A2C" w:rsidRPr="00FA2DA5" w:rsidTr="00A42C5E">
        <w:tc>
          <w:tcPr>
            <w:tcW w:w="440" w:type="dxa"/>
          </w:tcPr>
          <w:p w:rsidR="001D6A2C" w:rsidRPr="00FA2DA5" w:rsidRDefault="003B27A5">
            <w:r>
              <w:t>3</w:t>
            </w:r>
            <w:r w:rsidR="00BB2A80">
              <w:t>1</w:t>
            </w:r>
          </w:p>
        </w:tc>
        <w:tc>
          <w:tcPr>
            <w:tcW w:w="2565" w:type="dxa"/>
          </w:tcPr>
          <w:p w:rsidR="001D6A2C" w:rsidRPr="00FA2DA5" w:rsidRDefault="001D6A2C" w:rsidP="00C40875">
            <w:r w:rsidRPr="00FA2DA5">
              <w:t xml:space="preserve">Collect documentation of </w:t>
            </w:r>
            <w:proofErr w:type="spellStart"/>
            <w:r w:rsidRPr="00FA2DA5">
              <w:t>curated</w:t>
            </w:r>
            <w:proofErr w:type="spellEnd"/>
            <w:r w:rsidRPr="00FA2DA5">
              <w:t xml:space="preserve"> </w:t>
            </w:r>
            <w:proofErr w:type="spellStart"/>
            <w:r w:rsidRPr="00FA2DA5">
              <w:t>configs</w:t>
            </w:r>
            <w:proofErr w:type="spellEnd"/>
            <w:r w:rsidRPr="00FA2DA5">
              <w:t xml:space="preserve"> such as ice-detection algorithm documentation.  Keep this with meta and tech tables (AIC or ADMT website?)</w:t>
            </w:r>
          </w:p>
        </w:tc>
        <w:tc>
          <w:tcPr>
            <w:tcW w:w="997" w:type="dxa"/>
          </w:tcPr>
          <w:p w:rsidR="001D6A2C" w:rsidRPr="00FA2DA5" w:rsidRDefault="001D6A2C">
            <w:r w:rsidRPr="00FA2DA5">
              <w:t>ADMT19</w:t>
            </w:r>
          </w:p>
        </w:tc>
        <w:tc>
          <w:tcPr>
            <w:tcW w:w="1456" w:type="dxa"/>
          </w:tcPr>
          <w:p w:rsidR="001D6A2C" w:rsidRPr="00FA2DA5" w:rsidRDefault="001D6A2C">
            <w:r w:rsidRPr="00FA2DA5">
              <w:t xml:space="preserve">PIs, M. </w:t>
            </w:r>
            <w:proofErr w:type="spellStart"/>
            <w:r w:rsidR="00F5506B">
              <w:t>Belbéoch</w:t>
            </w:r>
            <w:proofErr w:type="spellEnd"/>
          </w:p>
        </w:tc>
        <w:tc>
          <w:tcPr>
            <w:tcW w:w="874" w:type="dxa"/>
          </w:tcPr>
          <w:p w:rsidR="001D6A2C" w:rsidRPr="00FA2DA5" w:rsidRDefault="001D6A2C">
            <w:r w:rsidRPr="00FA2DA5">
              <w:t>R</w:t>
            </w:r>
          </w:p>
        </w:tc>
        <w:tc>
          <w:tcPr>
            <w:tcW w:w="5980" w:type="dxa"/>
          </w:tcPr>
          <w:p w:rsidR="001D6A2C" w:rsidRPr="00FA2DA5" w:rsidRDefault="00A37641">
            <w:r w:rsidRPr="00A37641">
              <w:t>Not done. Need discussions with ADMT experts.</w:t>
            </w:r>
          </w:p>
        </w:tc>
      </w:tr>
      <w:tr w:rsidR="001D6A2C" w:rsidRPr="00FA2DA5" w:rsidTr="00A42C5E">
        <w:tc>
          <w:tcPr>
            <w:tcW w:w="440" w:type="dxa"/>
          </w:tcPr>
          <w:p w:rsidR="001D6A2C" w:rsidRPr="00FA2DA5" w:rsidRDefault="001D6A2C">
            <w:r w:rsidRPr="00FA2DA5">
              <w:t>3</w:t>
            </w:r>
            <w:r w:rsidR="00BB2A80">
              <w:t>2</w:t>
            </w:r>
          </w:p>
        </w:tc>
        <w:tc>
          <w:tcPr>
            <w:tcW w:w="2565" w:type="dxa"/>
          </w:tcPr>
          <w:p w:rsidR="001D6A2C" w:rsidRPr="00FA2DA5" w:rsidRDefault="001D6A2C" w:rsidP="00C40875">
            <w:r w:rsidRPr="00FA2DA5">
              <w:t xml:space="preserve">John to release draft CONFIG table by March.  Feedback needed from DACs and re-run audit before ADMT-19.  </w:t>
            </w:r>
          </w:p>
        </w:tc>
        <w:tc>
          <w:tcPr>
            <w:tcW w:w="997" w:type="dxa"/>
          </w:tcPr>
          <w:p w:rsidR="001D6A2C" w:rsidRPr="00FA2DA5" w:rsidRDefault="001D6A2C">
            <w:r w:rsidRPr="00FA2DA5">
              <w:t>AST19</w:t>
            </w:r>
          </w:p>
        </w:tc>
        <w:tc>
          <w:tcPr>
            <w:tcW w:w="1456" w:type="dxa"/>
          </w:tcPr>
          <w:p w:rsidR="001D6A2C" w:rsidRPr="00FA2DA5" w:rsidRDefault="001D6A2C">
            <w:r w:rsidRPr="00FA2DA5">
              <w:t>J. Gilson</w:t>
            </w:r>
          </w:p>
        </w:tc>
        <w:tc>
          <w:tcPr>
            <w:tcW w:w="874" w:type="dxa"/>
          </w:tcPr>
          <w:p w:rsidR="001D6A2C" w:rsidRPr="00FA2DA5" w:rsidRDefault="001D6A2C">
            <w:r w:rsidRPr="00FA2DA5">
              <w:t>R</w:t>
            </w:r>
          </w:p>
        </w:tc>
        <w:tc>
          <w:tcPr>
            <w:tcW w:w="5980" w:type="dxa"/>
          </w:tcPr>
          <w:p w:rsidR="001D6A2C" w:rsidRPr="00FA2DA5" w:rsidRDefault="001D6A2C"/>
        </w:tc>
      </w:tr>
      <w:tr w:rsidR="001D6A2C" w:rsidRPr="00FA2DA5" w:rsidTr="00A42C5E">
        <w:tc>
          <w:tcPr>
            <w:tcW w:w="440" w:type="dxa"/>
          </w:tcPr>
          <w:p w:rsidR="001D6A2C" w:rsidRPr="00FA2DA5" w:rsidRDefault="001D6A2C">
            <w:r w:rsidRPr="00FA2DA5">
              <w:t>3</w:t>
            </w:r>
            <w:r w:rsidR="00BB2A80">
              <w:t>3</w:t>
            </w:r>
          </w:p>
        </w:tc>
        <w:tc>
          <w:tcPr>
            <w:tcW w:w="2565" w:type="dxa"/>
          </w:tcPr>
          <w:p w:rsidR="001D6A2C" w:rsidRPr="00FA2DA5" w:rsidRDefault="001D6A2C" w:rsidP="001D6A2C">
            <w:r w:rsidRPr="00FA2DA5">
              <w:t>John to propose at next ADMT a process to move CONFIG parameters from non-</w:t>
            </w:r>
            <w:proofErr w:type="spellStart"/>
            <w:r w:rsidRPr="00FA2DA5">
              <w:t>curated</w:t>
            </w:r>
            <w:proofErr w:type="spellEnd"/>
            <w:r w:rsidRPr="00FA2DA5">
              <w:t xml:space="preserve"> to </w:t>
            </w:r>
            <w:proofErr w:type="spellStart"/>
            <w:r w:rsidRPr="00FA2DA5">
              <w:t>curated</w:t>
            </w:r>
            <w:proofErr w:type="spellEnd"/>
            <w:r w:rsidRPr="00FA2DA5">
              <w:t xml:space="preserve"> tale </w:t>
            </w:r>
          </w:p>
        </w:tc>
        <w:tc>
          <w:tcPr>
            <w:tcW w:w="997" w:type="dxa"/>
          </w:tcPr>
          <w:p w:rsidR="001D6A2C" w:rsidRPr="00FA2DA5" w:rsidRDefault="001D6A2C">
            <w:r w:rsidRPr="00FA2DA5">
              <w:t>ADMT19</w:t>
            </w:r>
          </w:p>
        </w:tc>
        <w:tc>
          <w:tcPr>
            <w:tcW w:w="1456" w:type="dxa"/>
          </w:tcPr>
          <w:p w:rsidR="001D6A2C" w:rsidRPr="00FA2DA5" w:rsidRDefault="001D6A2C">
            <w:r w:rsidRPr="00FA2DA5">
              <w:t>J. Gilson</w:t>
            </w:r>
          </w:p>
        </w:tc>
        <w:tc>
          <w:tcPr>
            <w:tcW w:w="874" w:type="dxa"/>
          </w:tcPr>
          <w:p w:rsidR="001D6A2C" w:rsidRPr="00FA2DA5" w:rsidRDefault="001D6A2C">
            <w:r w:rsidRPr="00FA2DA5">
              <w:t>R</w:t>
            </w:r>
          </w:p>
        </w:tc>
        <w:tc>
          <w:tcPr>
            <w:tcW w:w="5980" w:type="dxa"/>
          </w:tcPr>
          <w:p w:rsidR="001D6A2C" w:rsidRPr="00FA2DA5" w:rsidRDefault="001D6A2C"/>
        </w:tc>
      </w:tr>
      <w:tr w:rsidR="001D6A2C" w:rsidRPr="00FA2DA5" w:rsidTr="00A42C5E">
        <w:tc>
          <w:tcPr>
            <w:tcW w:w="440" w:type="dxa"/>
          </w:tcPr>
          <w:p w:rsidR="001D6A2C" w:rsidRPr="00FA2DA5" w:rsidRDefault="001D6A2C">
            <w:r w:rsidRPr="00FA2DA5">
              <w:t>3</w:t>
            </w:r>
            <w:r w:rsidR="00BB2A80">
              <w:t>4</w:t>
            </w:r>
          </w:p>
        </w:tc>
        <w:tc>
          <w:tcPr>
            <w:tcW w:w="2565" w:type="dxa"/>
          </w:tcPr>
          <w:p w:rsidR="001D6A2C" w:rsidRPr="00FA2DA5" w:rsidRDefault="001D6A2C" w:rsidP="001D6A2C">
            <w:r w:rsidRPr="00FA2DA5">
              <w:t xml:space="preserve">For floats that perform Ascending and Descending profiles in the same cycle, if both are Primary Sampling profiles, then each primary sampling profile in N_PROF=1 in two separate </w:t>
            </w:r>
            <w:proofErr w:type="spellStart"/>
            <w:r w:rsidRPr="00FA2DA5">
              <w:t>netCDF</w:t>
            </w:r>
            <w:proofErr w:type="spellEnd"/>
            <w:r w:rsidRPr="00FA2DA5">
              <w:t xml:space="preserve"> files.  Allow small fragment cycles that are not Primary Sampling profiles in N_PROF &gt; 1 even if direction of profile is different than the Primary Sampling profile</w:t>
            </w:r>
          </w:p>
        </w:tc>
        <w:tc>
          <w:tcPr>
            <w:tcW w:w="997" w:type="dxa"/>
          </w:tcPr>
          <w:p w:rsidR="001D6A2C" w:rsidRPr="00FA2DA5" w:rsidRDefault="001D6A2C">
            <w:r w:rsidRPr="00FA2DA5">
              <w:t>ADMT19</w:t>
            </w:r>
          </w:p>
        </w:tc>
        <w:tc>
          <w:tcPr>
            <w:tcW w:w="1456" w:type="dxa"/>
          </w:tcPr>
          <w:p w:rsidR="001D6A2C" w:rsidRPr="00FA2DA5" w:rsidRDefault="001D6A2C">
            <w:r w:rsidRPr="00FA2DA5">
              <w:t xml:space="preserve">DACs with ascending and descending profiles where one profile is not mandatory </w:t>
            </w:r>
          </w:p>
        </w:tc>
        <w:tc>
          <w:tcPr>
            <w:tcW w:w="874" w:type="dxa"/>
          </w:tcPr>
          <w:p w:rsidR="001D6A2C" w:rsidRPr="00FA2DA5" w:rsidRDefault="001D6A2C">
            <w:r w:rsidRPr="00FA2DA5">
              <w:t>R</w:t>
            </w:r>
          </w:p>
        </w:tc>
        <w:tc>
          <w:tcPr>
            <w:tcW w:w="5980" w:type="dxa"/>
          </w:tcPr>
          <w:p w:rsidR="001D6A2C" w:rsidRPr="00FA2DA5" w:rsidRDefault="00342D8B">
            <w:r>
              <w:t xml:space="preserve">Proposal rejected after ADMT meeting.  Keeping ascending and descending profiles separate.  Put non-core, fragment profiles in N_PROF&gt;1 and leave N_PROF = 1 with </w:t>
            </w:r>
            <w:proofErr w:type="spellStart"/>
            <w:r>
              <w:t>fillvalue</w:t>
            </w:r>
            <w:proofErr w:type="spellEnd"/>
            <w:r>
              <w:t xml:space="preserve"> if there is no core file.</w:t>
            </w:r>
          </w:p>
        </w:tc>
      </w:tr>
      <w:tr w:rsidR="001D6A2C" w:rsidRPr="00FA2DA5" w:rsidTr="00A42C5E">
        <w:tc>
          <w:tcPr>
            <w:tcW w:w="440" w:type="dxa"/>
          </w:tcPr>
          <w:p w:rsidR="001D6A2C" w:rsidRPr="00FA2DA5" w:rsidRDefault="001D6A2C">
            <w:r w:rsidRPr="00FA2DA5">
              <w:t>3</w:t>
            </w:r>
            <w:r w:rsidR="00BB2A80">
              <w:t>5</w:t>
            </w:r>
          </w:p>
        </w:tc>
        <w:tc>
          <w:tcPr>
            <w:tcW w:w="2565" w:type="dxa"/>
          </w:tcPr>
          <w:p w:rsidR="001D6A2C" w:rsidRPr="00FA2DA5" w:rsidRDefault="001D6A2C" w:rsidP="001D6A2C">
            <w:r w:rsidRPr="00FA2DA5">
              <w:t>Clarify definition of primary sampling and put updated definition in user manuals.  John to circulate this proposal</w:t>
            </w:r>
          </w:p>
        </w:tc>
        <w:tc>
          <w:tcPr>
            <w:tcW w:w="997" w:type="dxa"/>
          </w:tcPr>
          <w:p w:rsidR="001D6A2C" w:rsidRPr="00FA2DA5" w:rsidRDefault="001D6A2C">
            <w:r w:rsidRPr="00FA2DA5">
              <w:t>AST19</w:t>
            </w:r>
          </w:p>
        </w:tc>
        <w:tc>
          <w:tcPr>
            <w:tcW w:w="1456" w:type="dxa"/>
          </w:tcPr>
          <w:p w:rsidR="001D6A2C" w:rsidRPr="00FA2DA5" w:rsidRDefault="001D6A2C">
            <w:r w:rsidRPr="00FA2DA5">
              <w:t>J. Gilson</w:t>
            </w:r>
          </w:p>
        </w:tc>
        <w:tc>
          <w:tcPr>
            <w:tcW w:w="874" w:type="dxa"/>
          </w:tcPr>
          <w:p w:rsidR="001D6A2C" w:rsidRPr="00FA2DA5" w:rsidRDefault="001D6A2C">
            <w:r w:rsidRPr="00FA2DA5">
              <w:t>R</w:t>
            </w:r>
          </w:p>
        </w:tc>
        <w:tc>
          <w:tcPr>
            <w:tcW w:w="5980" w:type="dxa"/>
          </w:tcPr>
          <w:p w:rsidR="001D6A2C" w:rsidRPr="00FA2DA5" w:rsidRDefault="001D6A2C"/>
        </w:tc>
      </w:tr>
      <w:tr w:rsidR="001D6A2C" w:rsidRPr="00FA2DA5" w:rsidTr="00A42C5E">
        <w:tc>
          <w:tcPr>
            <w:tcW w:w="440" w:type="dxa"/>
          </w:tcPr>
          <w:p w:rsidR="001D6A2C" w:rsidRPr="00FA2DA5" w:rsidRDefault="001D6A2C">
            <w:r w:rsidRPr="00FA2DA5">
              <w:t>3</w:t>
            </w:r>
            <w:r w:rsidR="00BB2A80">
              <w:t>6</w:t>
            </w:r>
          </w:p>
        </w:tc>
        <w:tc>
          <w:tcPr>
            <w:tcW w:w="2565" w:type="dxa"/>
          </w:tcPr>
          <w:p w:rsidR="001D6A2C" w:rsidRPr="00FA2DA5" w:rsidRDefault="001D6A2C" w:rsidP="001D6A2C">
            <w:r w:rsidRPr="00FA2DA5">
              <w:t>The first DMQC should be done after one year.  Then the revisit could be after 2 years for the teams that struggle with DMQC backlog</w:t>
            </w:r>
          </w:p>
        </w:tc>
        <w:tc>
          <w:tcPr>
            <w:tcW w:w="997" w:type="dxa"/>
          </w:tcPr>
          <w:p w:rsidR="001D6A2C" w:rsidRPr="00FA2DA5" w:rsidRDefault="001D6A2C">
            <w:r w:rsidRPr="00FA2DA5">
              <w:t>ADMT19</w:t>
            </w:r>
          </w:p>
        </w:tc>
        <w:tc>
          <w:tcPr>
            <w:tcW w:w="1456" w:type="dxa"/>
          </w:tcPr>
          <w:p w:rsidR="001D6A2C" w:rsidRPr="00FA2DA5" w:rsidRDefault="001D6A2C">
            <w:proofErr w:type="spellStart"/>
            <w:r w:rsidRPr="00FA2DA5">
              <w:t>Dmode</w:t>
            </w:r>
            <w:proofErr w:type="spellEnd"/>
            <w:r w:rsidRPr="00FA2DA5">
              <w:t xml:space="preserve"> operators</w:t>
            </w:r>
          </w:p>
        </w:tc>
        <w:tc>
          <w:tcPr>
            <w:tcW w:w="874" w:type="dxa"/>
          </w:tcPr>
          <w:p w:rsidR="001D6A2C" w:rsidRPr="00FA2DA5" w:rsidRDefault="001D6A2C">
            <w:r w:rsidRPr="00FA2DA5">
              <w:t>R</w:t>
            </w:r>
          </w:p>
        </w:tc>
        <w:tc>
          <w:tcPr>
            <w:tcW w:w="5980" w:type="dxa"/>
          </w:tcPr>
          <w:p w:rsidR="001D6A2C" w:rsidRPr="00FA2DA5" w:rsidRDefault="00C04590">
            <w:r>
              <w:t xml:space="preserve">Likely changing this recommendation.  Want to keep one year revisit if possible.  </w:t>
            </w:r>
            <w:r w:rsidR="009F168B">
              <w:t>Rejected in 2018</w:t>
            </w:r>
          </w:p>
        </w:tc>
      </w:tr>
      <w:tr w:rsidR="001D6A2C" w:rsidRPr="00FA2DA5" w:rsidTr="00A42C5E">
        <w:tc>
          <w:tcPr>
            <w:tcW w:w="440" w:type="dxa"/>
          </w:tcPr>
          <w:p w:rsidR="001D6A2C" w:rsidRPr="00FA2DA5" w:rsidRDefault="001D6A2C">
            <w:r w:rsidRPr="00FA2DA5">
              <w:t>3</w:t>
            </w:r>
            <w:r w:rsidR="00BB2A80">
              <w:t>7</w:t>
            </w:r>
          </w:p>
        </w:tc>
        <w:tc>
          <w:tcPr>
            <w:tcW w:w="2565" w:type="dxa"/>
          </w:tcPr>
          <w:p w:rsidR="001D6A2C" w:rsidRPr="00FA2DA5" w:rsidRDefault="001D6A2C" w:rsidP="001D6A2C">
            <w:r w:rsidRPr="00FA2DA5">
              <w:t xml:space="preserve">Add deepest profile level sampled to index file to facilitate monitoring activities </w:t>
            </w:r>
          </w:p>
        </w:tc>
        <w:tc>
          <w:tcPr>
            <w:tcW w:w="997" w:type="dxa"/>
          </w:tcPr>
          <w:p w:rsidR="001D6A2C" w:rsidRPr="00FA2DA5" w:rsidRDefault="001D6A2C">
            <w:r w:rsidRPr="00FA2DA5">
              <w:t>ADMT19</w:t>
            </w:r>
          </w:p>
        </w:tc>
        <w:tc>
          <w:tcPr>
            <w:tcW w:w="1456" w:type="dxa"/>
          </w:tcPr>
          <w:p w:rsidR="001D6A2C" w:rsidRPr="00FA2DA5" w:rsidRDefault="001D6A2C">
            <w:r w:rsidRPr="00FA2DA5">
              <w:t>GDACs</w:t>
            </w:r>
          </w:p>
        </w:tc>
        <w:tc>
          <w:tcPr>
            <w:tcW w:w="874" w:type="dxa"/>
          </w:tcPr>
          <w:p w:rsidR="001D6A2C" w:rsidRPr="00FA2DA5" w:rsidRDefault="001D6A2C">
            <w:r w:rsidRPr="00FA2DA5">
              <w:t>R</w:t>
            </w:r>
          </w:p>
        </w:tc>
        <w:tc>
          <w:tcPr>
            <w:tcW w:w="5980" w:type="dxa"/>
          </w:tcPr>
          <w:p w:rsidR="001D6A2C" w:rsidRPr="00FA2DA5" w:rsidRDefault="00F5084F">
            <w:r>
              <w:t>Done</w:t>
            </w:r>
          </w:p>
        </w:tc>
      </w:tr>
      <w:tr w:rsidR="00215C57" w:rsidRPr="00FA2DA5" w:rsidTr="00A42C5E">
        <w:tc>
          <w:tcPr>
            <w:tcW w:w="440" w:type="dxa"/>
          </w:tcPr>
          <w:p w:rsidR="00215C57" w:rsidRPr="00FA2DA5" w:rsidRDefault="00215C57">
            <w:r w:rsidRPr="00FA2DA5">
              <w:t>3</w:t>
            </w:r>
            <w:r>
              <w:t>8</w:t>
            </w:r>
          </w:p>
        </w:tc>
        <w:tc>
          <w:tcPr>
            <w:tcW w:w="2565" w:type="dxa"/>
          </w:tcPr>
          <w:p w:rsidR="00215C57" w:rsidRPr="00FA2DA5" w:rsidRDefault="00215C57" w:rsidP="001D6A2C">
            <w:r w:rsidRPr="00FA2DA5">
              <w:t>Review the list of software reported in the HISTORY_SOFTWARE variable to identify human made actions and non-actions and actions driven by human expertise</w:t>
            </w:r>
          </w:p>
        </w:tc>
        <w:tc>
          <w:tcPr>
            <w:tcW w:w="997" w:type="dxa"/>
          </w:tcPr>
          <w:p w:rsidR="00215C57" w:rsidRPr="00FA2DA5" w:rsidRDefault="00215C57">
            <w:r w:rsidRPr="00FA2DA5">
              <w:t>ADMT19</w:t>
            </w:r>
          </w:p>
        </w:tc>
        <w:tc>
          <w:tcPr>
            <w:tcW w:w="1456" w:type="dxa"/>
          </w:tcPr>
          <w:p w:rsidR="00215C57" w:rsidRPr="00FA2DA5" w:rsidRDefault="00215C57">
            <w:r w:rsidRPr="00FA2DA5">
              <w:t>G. Maze, others??</w:t>
            </w:r>
          </w:p>
        </w:tc>
        <w:tc>
          <w:tcPr>
            <w:tcW w:w="874" w:type="dxa"/>
          </w:tcPr>
          <w:p w:rsidR="00215C57" w:rsidRPr="00FA2DA5" w:rsidRDefault="00215C57">
            <w:r w:rsidRPr="00FA2DA5">
              <w:t>R</w:t>
            </w:r>
          </w:p>
        </w:tc>
        <w:tc>
          <w:tcPr>
            <w:tcW w:w="5980" w:type="dxa"/>
          </w:tcPr>
          <w:p w:rsidR="00215C57" w:rsidRPr="00FA2DA5" w:rsidRDefault="00215C57" w:rsidP="00005DC8">
            <w:r>
              <w:t>In progress</w:t>
            </w:r>
            <w:r w:rsidR="004843BC">
              <w:t>.  New hire who will work on this in next year.</w:t>
            </w:r>
          </w:p>
        </w:tc>
      </w:tr>
      <w:tr w:rsidR="00215C57" w:rsidRPr="00FA2DA5" w:rsidTr="00A42C5E">
        <w:tc>
          <w:tcPr>
            <w:tcW w:w="440" w:type="dxa"/>
          </w:tcPr>
          <w:p w:rsidR="00215C57" w:rsidRPr="00FA2DA5" w:rsidRDefault="00215C57">
            <w:r w:rsidRPr="00FA2DA5">
              <w:t>3</w:t>
            </w:r>
            <w:r>
              <w:t>9</w:t>
            </w:r>
          </w:p>
        </w:tc>
        <w:tc>
          <w:tcPr>
            <w:tcW w:w="2565" w:type="dxa"/>
          </w:tcPr>
          <w:p w:rsidR="00215C57" w:rsidRPr="00FA2DA5" w:rsidRDefault="00215C57" w:rsidP="001D6A2C">
            <w:r w:rsidRPr="00FA2DA5">
              <w:t>Propose an update to the user Manual section 5 to add more explanation about "group" of HISTORY_STEPS/ACTIONS, rather than isolated actions</w:t>
            </w:r>
          </w:p>
        </w:tc>
        <w:tc>
          <w:tcPr>
            <w:tcW w:w="997" w:type="dxa"/>
          </w:tcPr>
          <w:p w:rsidR="00215C57" w:rsidRPr="00FA2DA5" w:rsidRDefault="00215C57">
            <w:r w:rsidRPr="00FA2DA5">
              <w:t>ADMT19</w:t>
            </w:r>
          </w:p>
        </w:tc>
        <w:tc>
          <w:tcPr>
            <w:tcW w:w="1456" w:type="dxa"/>
          </w:tcPr>
          <w:p w:rsidR="00215C57" w:rsidRPr="00FA2DA5" w:rsidRDefault="00215C57" w:rsidP="007A019E">
            <w:r w:rsidRPr="00FA2DA5">
              <w:t>G. Maze, others??</w:t>
            </w:r>
          </w:p>
        </w:tc>
        <w:tc>
          <w:tcPr>
            <w:tcW w:w="874" w:type="dxa"/>
          </w:tcPr>
          <w:p w:rsidR="00215C57" w:rsidRPr="00FA2DA5" w:rsidRDefault="00215C57" w:rsidP="007A019E">
            <w:r w:rsidRPr="00FA2DA5">
              <w:t>R</w:t>
            </w:r>
          </w:p>
        </w:tc>
        <w:tc>
          <w:tcPr>
            <w:tcW w:w="5980" w:type="dxa"/>
          </w:tcPr>
          <w:p w:rsidR="00215C57" w:rsidRPr="00FA2DA5" w:rsidRDefault="00215C57" w:rsidP="00005DC8">
            <w:r>
              <w:t>Not done</w:t>
            </w:r>
          </w:p>
        </w:tc>
      </w:tr>
      <w:tr w:rsidR="00215C57" w:rsidRPr="00FA2DA5" w:rsidTr="00A42C5E">
        <w:tc>
          <w:tcPr>
            <w:tcW w:w="440" w:type="dxa"/>
          </w:tcPr>
          <w:p w:rsidR="00215C57" w:rsidRPr="00FA2DA5" w:rsidRDefault="00215C57">
            <w:r>
              <w:t>40</w:t>
            </w:r>
          </w:p>
        </w:tc>
        <w:tc>
          <w:tcPr>
            <w:tcW w:w="2565" w:type="dxa"/>
          </w:tcPr>
          <w:p w:rsidR="00215C57" w:rsidRPr="00FA2DA5" w:rsidRDefault="00215C57" w:rsidP="001D6A2C">
            <w:r w:rsidRPr="00FA2DA5">
              <w:t>Propose profile file format checking tests to ensure the HISTORY variables are compliant to reference tables and coherent with each other</w:t>
            </w:r>
          </w:p>
        </w:tc>
        <w:tc>
          <w:tcPr>
            <w:tcW w:w="997" w:type="dxa"/>
          </w:tcPr>
          <w:p w:rsidR="00215C57" w:rsidRPr="00FA2DA5" w:rsidRDefault="00215C57">
            <w:r w:rsidRPr="00FA2DA5">
              <w:t>ADMT19</w:t>
            </w:r>
          </w:p>
        </w:tc>
        <w:tc>
          <w:tcPr>
            <w:tcW w:w="1456" w:type="dxa"/>
          </w:tcPr>
          <w:p w:rsidR="00215C57" w:rsidRPr="00FA2DA5" w:rsidRDefault="00215C57" w:rsidP="007A019E">
            <w:r w:rsidRPr="00FA2DA5">
              <w:t>G. Maze, others??</w:t>
            </w:r>
          </w:p>
        </w:tc>
        <w:tc>
          <w:tcPr>
            <w:tcW w:w="874" w:type="dxa"/>
          </w:tcPr>
          <w:p w:rsidR="00215C57" w:rsidRPr="00FA2DA5" w:rsidRDefault="00215C57" w:rsidP="007A019E">
            <w:r w:rsidRPr="00FA2DA5">
              <w:t>R</w:t>
            </w:r>
          </w:p>
        </w:tc>
        <w:tc>
          <w:tcPr>
            <w:tcW w:w="5980" w:type="dxa"/>
          </w:tcPr>
          <w:p w:rsidR="00215C57" w:rsidRPr="00FA2DA5" w:rsidRDefault="00215C57" w:rsidP="00005DC8">
            <w:r>
              <w:t>Not done</w:t>
            </w:r>
          </w:p>
        </w:tc>
      </w:tr>
      <w:tr w:rsidR="00215C57" w:rsidRPr="00FA2DA5" w:rsidTr="00A42C5E">
        <w:tc>
          <w:tcPr>
            <w:tcW w:w="440" w:type="dxa"/>
          </w:tcPr>
          <w:p w:rsidR="00215C57" w:rsidRPr="00FA2DA5" w:rsidRDefault="00215C57">
            <w:r>
              <w:t>41</w:t>
            </w:r>
          </w:p>
        </w:tc>
        <w:tc>
          <w:tcPr>
            <w:tcW w:w="2565" w:type="dxa"/>
          </w:tcPr>
          <w:p w:rsidR="00215C57" w:rsidRPr="00FA2DA5" w:rsidRDefault="00215C57" w:rsidP="001D6A2C">
            <w:r w:rsidRPr="00FA2DA5">
              <w:t>Christine to provide the CTD ref db for Argo in index file.  Steve to provide all CCHDO CTD files that are not recorded in the index file.</w:t>
            </w:r>
          </w:p>
        </w:tc>
        <w:tc>
          <w:tcPr>
            <w:tcW w:w="997" w:type="dxa"/>
          </w:tcPr>
          <w:p w:rsidR="00215C57" w:rsidRPr="00FA2DA5" w:rsidRDefault="00215C57">
            <w:r w:rsidRPr="00FA2DA5">
              <w:t>ADMT19</w:t>
            </w:r>
          </w:p>
        </w:tc>
        <w:tc>
          <w:tcPr>
            <w:tcW w:w="1456" w:type="dxa"/>
          </w:tcPr>
          <w:p w:rsidR="00215C57" w:rsidRPr="00FA2DA5" w:rsidRDefault="00215C57" w:rsidP="007A019E">
            <w:r w:rsidRPr="00FA2DA5">
              <w:t>Christine, Steve Diggs</w:t>
            </w:r>
          </w:p>
        </w:tc>
        <w:tc>
          <w:tcPr>
            <w:tcW w:w="874" w:type="dxa"/>
          </w:tcPr>
          <w:p w:rsidR="00215C57" w:rsidRPr="00FA2DA5" w:rsidRDefault="00215C57" w:rsidP="007A019E">
            <w:r w:rsidRPr="00FA2DA5">
              <w:t>R</w:t>
            </w:r>
          </w:p>
        </w:tc>
        <w:tc>
          <w:tcPr>
            <w:tcW w:w="5980" w:type="dxa"/>
          </w:tcPr>
          <w:p w:rsidR="008265FD" w:rsidRPr="008265FD" w:rsidRDefault="00C96494" w:rsidP="008265FD">
            <w:r>
              <w:t xml:space="preserve">Zip file with 3 logs sent to CCHDO in January.  In October 2018, 12 Go-SHIP cruises were downloaded from CCHDO for the period of 2016 – 2018 </w:t>
            </w:r>
            <w:r w:rsidR="008265FD" w:rsidRPr="008265FD">
              <w:rPr>
                <w:iCs/>
              </w:rPr>
              <w:t>which will be in next version of Argo</w:t>
            </w:r>
            <w:r w:rsidR="008265FD">
              <w:rPr>
                <w:iCs/>
              </w:rPr>
              <w:t xml:space="preserve"> </w:t>
            </w:r>
            <w:proofErr w:type="spellStart"/>
            <w:r w:rsidR="008265FD">
              <w:rPr>
                <w:iCs/>
              </w:rPr>
              <w:t>refDB</w:t>
            </w:r>
            <w:proofErr w:type="spellEnd"/>
            <w:r w:rsidR="008265FD">
              <w:rPr>
                <w:iCs/>
              </w:rPr>
              <w:t xml:space="preserve"> delivered before end of D</w:t>
            </w:r>
            <w:r w:rsidR="008265FD" w:rsidRPr="008265FD">
              <w:rPr>
                <w:iCs/>
              </w:rPr>
              <w:t>ecember</w:t>
            </w:r>
          </w:p>
          <w:p w:rsidR="00C96494" w:rsidRPr="00FA2DA5" w:rsidRDefault="00C96494"/>
        </w:tc>
      </w:tr>
      <w:tr w:rsidR="00D72FB4" w:rsidRPr="00FA2DA5" w:rsidTr="00A42C5E">
        <w:tc>
          <w:tcPr>
            <w:tcW w:w="440" w:type="dxa"/>
          </w:tcPr>
          <w:p w:rsidR="00D72FB4" w:rsidRPr="00FA2DA5" w:rsidRDefault="00D72FB4">
            <w:r w:rsidRPr="00FA2DA5">
              <w:t>4</w:t>
            </w:r>
            <w:r>
              <w:t>2</w:t>
            </w:r>
          </w:p>
        </w:tc>
        <w:tc>
          <w:tcPr>
            <w:tcW w:w="2565" w:type="dxa"/>
          </w:tcPr>
          <w:p w:rsidR="00D72FB4" w:rsidRPr="00FA2DA5" w:rsidRDefault="00D72FB4" w:rsidP="001D6A2C">
            <w:r w:rsidRPr="00FA2DA5">
              <w:t xml:space="preserve">Mathieu to provide the list of orphan floats which have no assigned DMQC operator and ask for volunteers to process them for this year  </w:t>
            </w:r>
          </w:p>
        </w:tc>
        <w:tc>
          <w:tcPr>
            <w:tcW w:w="997" w:type="dxa"/>
          </w:tcPr>
          <w:p w:rsidR="00D72FB4" w:rsidRPr="00FA2DA5" w:rsidRDefault="00D72FB4">
            <w:r w:rsidRPr="00FA2DA5">
              <w:t>ADMT19</w:t>
            </w:r>
          </w:p>
        </w:tc>
        <w:tc>
          <w:tcPr>
            <w:tcW w:w="1456" w:type="dxa"/>
          </w:tcPr>
          <w:p w:rsidR="00D72FB4" w:rsidRPr="00FA2DA5" w:rsidRDefault="00D72FB4" w:rsidP="007A019E">
            <w:r w:rsidRPr="00FA2DA5">
              <w:t xml:space="preserve">M. </w:t>
            </w:r>
            <w:proofErr w:type="spellStart"/>
            <w:r>
              <w:t>Belbéoch</w:t>
            </w:r>
            <w:proofErr w:type="spellEnd"/>
          </w:p>
        </w:tc>
        <w:tc>
          <w:tcPr>
            <w:tcW w:w="874" w:type="dxa"/>
          </w:tcPr>
          <w:p w:rsidR="00D72FB4" w:rsidRPr="00FA2DA5" w:rsidRDefault="00D72FB4" w:rsidP="007A019E">
            <w:r w:rsidRPr="00FA2DA5">
              <w:t>R</w:t>
            </w:r>
          </w:p>
        </w:tc>
        <w:tc>
          <w:tcPr>
            <w:tcW w:w="5980" w:type="dxa"/>
          </w:tcPr>
          <w:p w:rsidR="00D72FB4" w:rsidRPr="00D72FB4" w:rsidRDefault="00D72FB4" w:rsidP="002B3F3C">
            <w:r w:rsidRPr="00D72FB4">
              <w:t>See JCOMMOPS Report and ADMT discussions.</w:t>
            </w:r>
          </w:p>
        </w:tc>
      </w:tr>
      <w:tr w:rsidR="00D72FB4" w:rsidRPr="00FA2DA5" w:rsidTr="00A42C5E">
        <w:tc>
          <w:tcPr>
            <w:tcW w:w="440" w:type="dxa"/>
          </w:tcPr>
          <w:p w:rsidR="00D72FB4" w:rsidRPr="00FA2DA5" w:rsidRDefault="00D72FB4">
            <w:r w:rsidRPr="00FA2DA5">
              <w:t>4</w:t>
            </w:r>
            <w:r>
              <w:t>3</w:t>
            </w:r>
          </w:p>
        </w:tc>
        <w:tc>
          <w:tcPr>
            <w:tcW w:w="2565" w:type="dxa"/>
          </w:tcPr>
          <w:p w:rsidR="00D72FB4" w:rsidRPr="00FA2DA5" w:rsidRDefault="00D72FB4" w:rsidP="00FA2DA5">
            <w:r w:rsidRPr="00FA2DA5">
              <w:t xml:space="preserve">Mathieu to specify a way to manage Dm-Operator at Float and parameter level to be able to manage programs that do not have a program DM-operator and BGC-Argo where different operators may be responsible for different parameters </w:t>
            </w:r>
          </w:p>
          <w:p w:rsidR="00D72FB4" w:rsidRPr="00FA2DA5" w:rsidRDefault="00D72FB4" w:rsidP="001D6A2C"/>
        </w:tc>
        <w:tc>
          <w:tcPr>
            <w:tcW w:w="997" w:type="dxa"/>
          </w:tcPr>
          <w:p w:rsidR="00D72FB4" w:rsidRPr="00FA2DA5" w:rsidRDefault="00D72FB4">
            <w:r w:rsidRPr="00FA2DA5">
              <w:t>ADMT19</w:t>
            </w:r>
          </w:p>
        </w:tc>
        <w:tc>
          <w:tcPr>
            <w:tcW w:w="1456" w:type="dxa"/>
          </w:tcPr>
          <w:p w:rsidR="00D72FB4" w:rsidRPr="00FA2DA5" w:rsidRDefault="00D72FB4" w:rsidP="00F5506B">
            <w:r w:rsidRPr="00FA2DA5">
              <w:t xml:space="preserve">M. </w:t>
            </w:r>
            <w:proofErr w:type="spellStart"/>
            <w:r w:rsidRPr="00FA2DA5">
              <w:t>Belb</w:t>
            </w:r>
            <w:r>
              <w:rPr>
                <w:rFonts w:cstheme="minorHAnsi"/>
              </w:rPr>
              <w:t>é</w:t>
            </w:r>
            <w:r w:rsidRPr="00FA2DA5">
              <w:t>och</w:t>
            </w:r>
            <w:proofErr w:type="spellEnd"/>
          </w:p>
        </w:tc>
        <w:tc>
          <w:tcPr>
            <w:tcW w:w="874" w:type="dxa"/>
          </w:tcPr>
          <w:p w:rsidR="00D72FB4" w:rsidRPr="00FA2DA5" w:rsidRDefault="00D72FB4" w:rsidP="007A019E">
            <w:r w:rsidRPr="00FA2DA5">
              <w:t>R</w:t>
            </w:r>
          </w:p>
        </w:tc>
        <w:tc>
          <w:tcPr>
            <w:tcW w:w="5980" w:type="dxa"/>
          </w:tcPr>
          <w:p w:rsidR="00D72FB4" w:rsidRPr="00D85738" w:rsidRDefault="00D72FB4" w:rsidP="002B3F3C">
            <w:r w:rsidRPr="00D85738">
              <w:t>Need developments at JCOMMOPS and further specifications.</w:t>
            </w:r>
          </w:p>
          <w:p w:rsidR="00D72FB4" w:rsidRPr="00FA2DA5" w:rsidRDefault="00D72FB4" w:rsidP="002B3F3C">
            <w:r w:rsidRPr="00D85738">
              <w:t xml:space="preserve">To be added to 2019 </w:t>
            </w:r>
            <w:proofErr w:type="spellStart"/>
            <w:r w:rsidRPr="00D85738">
              <w:t>workplan</w:t>
            </w:r>
            <w:proofErr w:type="spellEnd"/>
            <w:r w:rsidRPr="00D85738">
              <w:t>.</w:t>
            </w:r>
          </w:p>
        </w:tc>
      </w:tr>
      <w:tr w:rsidR="00D72FB4" w:rsidRPr="00FA2DA5" w:rsidTr="00A42C5E">
        <w:tc>
          <w:tcPr>
            <w:tcW w:w="440" w:type="dxa"/>
          </w:tcPr>
          <w:p w:rsidR="00D72FB4" w:rsidRPr="00FA2DA5" w:rsidRDefault="00D72FB4">
            <w:r w:rsidRPr="00FA2DA5">
              <w:t>4</w:t>
            </w:r>
            <w:r>
              <w:t>4</w:t>
            </w:r>
          </w:p>
        </w:tc>
        <w:tc>
          <w:tcPr>
            <w:tcW w:w="2565" w:type="dxa"/>
          </w:tcPr>
          <w:p w:rsidR="00D72FB4" w:rsidRPr="00FA2DA5" w:rsidRDefault="00D72FB4" w:rsidP="00FA2DA5">
            <w:r w:rsidRPr="00FA2DA5">
              <w:t xml:space="preserve">Study how to better capture the DM-Operator and Institution for each parameter in the profile file.  Consider adding a global attribute. If this is accepted, consider using </w:t>
            </w:r>
            <w:proofErr w:type="spellStart"/>
            <w:r w:rsidRPr="00FA2DA5">
              <w:t>ORCid</w:t>
            </w:r>
            <w:proofErr w:type="spellEnd"/>
            <w:r w:rsidRPr="00FA2DA5">
              <w:t xml:space="preserve"> and EDMO-code to avoid spelling issues. This can help with audits done on the Argo dataset.</w:t>
            </w:r>
          </w:p>
        </w:tc>
        <w:tc>
          <w:tcPr>
            <w:tcW w:w="997" w:type="dxa"/>
          </w:tcPr>
          <w:p w:rsidR="00D72FB4" w:rsidRPr="00FA2DA5" w:rsidRDefault="00D72FB4">
            <w:r w:rsidRPr="00FA2DA5">
              <w:t>ADMT19</w:t>
            </w:r>
          </w:p>
        </w:tc>
        <w:tc>
          <w:tcPr>
            <w:tcW w:w="1456" w:type="dxa"/>
          </w:tcPr>
          <w:p w:rsidR="00D72FB4" w:rsidRPr="00FA2DA5" w:rsidRDefault="00D72FB4" w:rsidP="007A019E">
            <w:r w:rsidRPr="00FA2DA5">
              <w:t>??</w:t>
            </w:r>
          </w:p>
        </w:tc>
        <w:tc>
          <w:tcPr>
            <w:tcW w:w="874" w:type="dxa"/>
          </w:tcPr>
          <w:p w:rsidR="00D72FB4" w:rsidRPr="00FA2DA5" w:rsidRDefault="00D72FB4" w:rsidP="007A019E">
            <w:r w:rsidRPr="00FA2DA5">
              <w:t>R</w:t>
            </w:r>
          </w:p>
        </w:tc>
        <w:tc>
          <w:tcPr>
            <w:tcW w:w="5980" w:type="dxa"/>
          </w:tcPr>
          <w:p w:rsidR="00D72FB4" w:rsidRPr="00FA2DA5" w:rsidRDefault="00D72FB4"/>
        </w:tc>
      </w:tr>
      <w:tr w:rsidR="00D72FB4" w:rsidRPr="00FA2DA5" w:rsidTr="00A42C5E">
        <w:tc>
          <w:tcPr>
            <w:tcW w:w="440" w:type="dxa"/>
          </w:tcPr>
          <w:p w:rsidR="00D72FB4" w:rsidRPr="00FA2DA5" w:rsidRDefault="00D72FB4">
            <w:r w:rsidRPr="00FA2DA5">
              <w:t>4</w:t>
            </w:r>
            <w:r>
              <w:t>5</w:t>
            </w:r>
          </w:p>
        </w:tc>
        <w:tc>
          <w:tcPr>
            <w:tcW w:w="2565" w:type="dxa"/>
          </w:tcPr>
          <w:p w:rsidR="00D72FB4" w:rsidRPr="00FA2DA5" w:rsidRDefault="00D72FB4" w:rsidP="00FA2DA5">
            <w:r w:rsidRPr="00FA2DA5">
              <w:t>AIC, OGS and AOML to define what to do in term of DMQC for GTS only floats</w:t>
            </w:r>
          </w:p>
        </w:tc>
        <w:tc>
          <w:tcPr>
            <w:tcW w:w="997" w:type="dxa"/>
          </w:tcPr>
          <w:p w:rsidR="00D72FB4" w:rsidRPr="00FA2DA5" w:rsidRDefault="00D72FB4">
            <w:r w:rsidRPr="00FA2DA5">
              <w:t>ADMT19</w:t>
            </w:r>
          </w:p>
        </w:tc>
        <w:tc>
          <w:tcPr>
            <w:tcW w:w="1456" w:type="dxa"/>
          </w:tcPr>
          <w:p w:rsidR="00D72FB4" w:rsidRPr="00FA2DA5" w:rsidRDefault="00D72FB4" w:rsidP="007A019E">
            <w:r w:rsidRPr="00FA2DA5">
              <w:t>AIC, OGS and AOML</w:t>
            </w:r>
          </w:p>
        </w:tc>
        <w:tc>
          <w:tcPr>
            <w:tcW w:w="874" w:type="dxa"/>
          </w:tcPr>
          <w:p w:rsidR="00D72FB4" w:rsidRPr="00FA2DA5" w:rsidRDefault="00D72FB4" w:rsidP="007A019E">
            <w:r w:rsidRPr="00FA2DA5">
              <w:t>R</w:t>
            </w:r>
          </w:p>
        </w:tc>
        <w:tc>
          <w:tcPr>
            <w:tcW w:w="5980" w:type="dxa"/>
          </w:tcPr>
          <w:p w:rsidR="00D72FB4" w:rsidRPr="00FA2DA5" w:rsidRDefault="00D72FB4">
            <w:r>
              <w:t>In progress.  OGS is willing to do DMQC for these floats, but it cannot be a high priority right now.  The floats are difficult due to the truncation of the parameters’ values to the second decimal.</w:t>
            </w:r>
          </w:p>
        </w:tc>
      </w:tr>
    </w:tbl>
    <w:p w:rsidR="00CE6F10" w:rsidRPr="00FA2DA5" w:rsidRDefault="00EA0C09"/>
    <w:sectPr w:rsidR="00CE6F10" w:rsidRPr="00FA2DA5" w:rsidSect="002B5673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09" w:rsidRDefault="00EA0C09" w:rsidP="00FD5B5B">
      <w:pPr>
        <w:spacing w:after="0" w:line="240" w:lineRule="auto"/>
      </w:pPr>
      <w:r>
        <w:separator/>
      </w:r>
    </w:p>
  </w:endnote>
  <w:endnote w:type="continuationSeparator" w:id="0">
    <w:p w:rsidR="00EA0C09" w:rsidRDefault="00EA0C09" w:rsidP="00FD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09" w:rsidRDefault="00EA0C09" w:rsidP="00FD5B5B">
      <w:pPr>
        <w:spacing w:after="0" w:line="240" w:lineRule="auto"/>
      </w:pPr>
      <w:r>
        <w:separator/>
      </w:r>
    </w:p>
  </w:footnote>
  <w:footnote w:type="continuationSeparator" w:id="0">
    <w:p w:rsidR="00EA0C09" w:rsidRDefault="00EA0C09" w:rsidP="00FD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5B" w:rsidRDefault="00FD5B5B">
    <w:pPr>
      <w:pStyle w:val="Header"/>
    </w:pPr>
  </w:p>
  <w:p w:rsidR="00FD5B5B" w:rsidRDefault="00FD5B5B">
    <w:pPr>
      <w:pStyle w:val="Header"/>
    </w:pPr>
  </w:p>
  <w:p w:rsidR="00FD5B5B" w:rsidRDefault="00FD5B5B">
    <w:pPr>
      <w:pStyle w:val="Header"/>
    </w:pPr>
  </w:p>
  <w:p w:rsidR="00FD5B5B" w:rsidRDefault="00FD5B5B">
    <w:pPr>
      <w:pStyle w:val="Header"/>
    </w:pPr>
  </w:p>
  <w:p w:rsidR="00FD5B5B" w:rsidRDefault="00FD5B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5B5B"/>
    <w:rsid w:val="000372DB"/>
    <w:rsid w:val="00060F48"/>
    <w:rsid w:val="0008496C"/>
    <w:rsid w:val="00094E89"/>
    <w:rsid w:val="000B12AB"/>
    <w:rsid w:val="000C78BF"/>
    <w:rsid w:val="000E696C"/>
    <w:rsid w:val="00156FD8"/>
    <w:rsid w:val="001A051E"/>
    <w:rsid w:val="001A38F2"/>
    <w:rsid w:val="001D6A2C"/>
    <w:rsid w:val="001F554D"/>
    <w:rsid w:val="00211311"/>
    <w:rsid w:val="00215C57"/>
    <w:rsid w:val="00223C25"/>
    <w:rsid w:val="00254515"/>
    <w:rsid w:val="002B5673"/>
    <w:rsid w:val="002D50CE"/>
    <w:rsid w:val="0031105F"/>
    <w:rsid w:val="00342D8B"/>
    <w:rsid w:val="00347EB4"/>
    <w:rsid w:val="00361F42"/>
    <w:rsid w:val="003B27A5"/>
    <w:rsid w:val="003D0999"/>
    <w:rsid w:val="003D0AD2"/>
    <w:rsid w:val="003E210D"/>
    <w:rsid w:val="00447001"/>
    <w:rsid w:val="004658BE"/>
    <w:rsid w:val="004843BC"/>
    <w:rsid w:val="004C733B"/>
    <w:rsid w:val="005F5275"/>
    <w:rsid w:val="00675595"/>
    <w:rsid w:val="006B37E0"/>
    <w:rsid w:val="006D47D4"/>
    <w:rsid w:val="006E12ED"/>
    <w:rsid w:val="008265FD"/>
    <w:rsid w:val="00894AB0"/>
    <w:rsid w:val="008E1DDC"/>
    <w:rsid w:val="00902B69"/>
    <w:rsid w:val="0093779D"/>
    <w:rsid w:val="00961A79"/>
    <w:rsid w:val="009E74BD"/>
    <w:rsid w:val="009F168B"/>
    <w:rsid w:val="00A37641"/>
    <w:rsid w:val="00A42C5E"/>
    <w:rsid w:val="00A61630"/>
    <w:rsid w:val="00AB4752"/>
    <w:rsid w:val="00AE635C"/>
    <w:rsid w:val="00B428B2"/>
    <w:rsid w:val="00B50F40"/>
    <w:rsid w:val="00BA4C65"/>
    <w:rsid w:val="00BB2A80"/>
    <w:rsid w:val="00BC62D7"/>
    <w:rsid w:val="00BD79D2"/>
    <w:rsid w:val="00C04590"/>
    <w:rsid w:val="00C40875"/>
    <w:rsid w:val="00C96494"/>
    <w:rsid w:val="00CD2D0B"/>
    <w:rsid w:val="00CD7DD1"/>
    <w:rsid w:val="00CF5A11"/>
    <w:rsid w:val="00D11E55"/>
    <w:rsid w:val="00D1488F"/>
    <w:rsid w:val="00D72FB4"/>
    <w:rsid w:val="00D779F6"/>
    <w:rsid w:val="00D85738"/>
    <w:rsid w:val="00DC1E6D"/>
    <w:rsid w:val="00E10DB4"/>
    <w:rsid w:val="00E43D0D"/>
    <w:rsid w:val="00E76618"/>
    <w:rsid w:val="00EA0C09"/>
    <w:rsid w:val="00EF1687"/>
    <w:rsid w:val="00EF26FB"/>
    <w:rsid w:val="00F5084F"/>
    <w:rsid w:val="00F5506B"/>
    <w:rsid w:val="00F778C8"/>
    <w:rsid w:val="00FA0874"/>
    <w:rsid w:val="00FA2DA5"/>
    <w:rsid w:val="00FD5B5B"/>
    <w:rsid w:val="00FD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B5B"/>
  </w:style>
  <w:style w:type="paragraph" w:styleId="Footer">
    <w:name w:val="footer"/>
    <w:basedOn w:val="Normal"/>
    <w:link w:val="FooterChar"/>
    <w:uiPriority w:val="99"/>
    <w:semiHidden/>
    <w:unhideWhenUsed/>
    <w:rsid w:val="00FD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B5B"/>
  </w:style>
  <w:style w:type="character" w:styleId="Hyperlink">
    <w:name w:val="Hyperlink"/>
    <w:basedOn w:val="DefaultParagraphFont"/>
    <w:uiPriority w:val="99"/>
    <w:unhideWhenUsed/>
    <w:rsid w:val="002B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673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CD2D0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5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423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84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29818">
      <w:bodyDiv w:val="1"/>
      <w:marLeft w:val="0"/>
      <w:marRight w:val="9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18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2679">
      <w:bodyDiv w:val="1"/>
      <w:marLeft w:val="0"/>
      <w:marRight w:val="9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220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588">
      <w:bodyDiv w:val="1"/>
      <w:marLeft w:val="0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17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4194">
      <w:bodyDiv w:val="1"/>
      <w:marLeft w:val="0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ifremer.fr/ifremer/argo/etc/argo-synthetic-profile/coriolis/6901585/profiles/MR6901585_001.n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3155/5563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ifremer.fr/ifremer/argo/etc/ObjectiveAnalysisWarning/" TargetMode="External"/><Relationship Id="rId11" Type="http://schemas.openxmlformats.org/officeDocument/2006/relationships/hyperlink" Target="ftp://ftp.ifremer.fr/ifremer/argo/etc/argo-synthetic-profile/coriolis/6901585/6901585_Sprof.nc" TargetMode="External"/><Relationship Id="rId5" Type="http://schemas.openxmlformats.org/officeDocument/2006/relationships/endnotes" Target="endnotes.xml"/><Relationship Id="rId10" Type="http://schemas.openxmlformats.org/officeDocument/2006/relationships/hyperlink" Target="ftp://ftp.ifremer.fr/ifremer/argo/etc/argo-synthetic-profile/coriolis/6901585/profiles/SR6901585_001.nc" TargetMode="External"/><Relationship Id="rId4" Type="http://schemas.openxmlformats.org/officeDocument/2006/relationships/footnotes" Target="footnotes.xml"/><Relationship Id="rId9" Type="http://schemas.openxmlformats.org/officeDocument/2006/relationships/hyperlink" Target="ftp://ftp.ifremer.fr/ifremer/argo/etc/argo-synthetic-profile/coriolis/6901585/6901585_Mprof.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2</cp:revision>
  <dcterms:created xsi:type="dcterms:W3CDTF">2018-12-05T04:54:00Z</dcterms:created>
  <dcterms:modified xsi:type="dcterms:W3CDTF">2018-12-05T04:54:00Z</dcterms:modified>
</cp:coreProperties>
</file>